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FC923" w14:textId="20E26F66" w:rsidR="004A6378" w:rsidRPr="00672692" w:rsidRDefault="004A6378" w:rsidP="004A6378">
      <w:pPr>
        <w:spacing w:after="240"/>
        <w:jc w:val="center"/>
        <w:rPr>
          <w:b/>
          <w:sz w:val="24"/>
          <w:szCs w:val="24"/>
        </w:rPr>
      </w:pPr>
      <w:bookmarkStart w:id="0" w:name="_GoBack"/>
      <w:bookmarkEnd w:id="0"/>
      <w:r w:rsidRPr="00672692">
        <w:rPr>
          <w:b/>
          <w:sz w:val="24"/>
          <w:szCs w:val="24"/>
        </w:rPr>
        <w:t xml:space="preserve">OSSERVATORIO NAZIONALE SULLA CONDIZIONE DELLE PERSONE CON DISABILITA’ – Gruppo di lavoro 5 – Salute e diritto alla vita, abilitazione e riabilitazione, </w:t>
      </w:r>
      <w:proofErr w:type="spellStart"/>
      <w:r w:rsidRPr="00672692">
        <w:rPr>
          <w:b/>
          <w:sz w:val="24"/>
          <w:szCs w:val="24"/>
        </w:rPr>
        <w:t>ausilii</w:t>
      </w:r>
      <w:proofErr w:type="spellEnd"/>
      <w:r w:rsidRPr="00672692">
        <w:rPr>
          <w:b/>
          <w:sz w:val="24"/>
          <w:szCs w:val="24"/>
        </w:rPr>
        <w:t>, consenso informato.</w:t>
      </w:r>
    </w:p>
    <w:p w14:paraId="3AECD496" w14:textId="16277B0E" w:rsidR="004842AD" w:rsidRPr="00672692" w:rsidRDefault="004842AD" w:rsidP="004842AD">
      <w:pPr>
        <w:spacing w:after="0"/>
        <w:jc w:val="center"/>
        <w:rPr>
          <w:b/>
          <w:sz w:val="24"/>
          <w:szCs w:val="24"/>
        </w:rPr>
      </w:pPr>
      <w:r w:rsidRPr="00672692">
        <w:rPr>
          <w:b/>
          <w:sz w:val="24"/>
          <w:szCs w:val="24"/>
        </w:rPr>
        <w:t xml:space="preserve">SISTEMA ORGANIZZATIVO PER LA VACCINAZIONE DELLE </w:t>
      </w:r>
    </w:p>
    <w:p w14:paraId="42097DDA" w14:textId="1B57F4E6" w:rsidR="0065714A" w:rsidRPr="00672692" w:rsidRDefault="004842AD" w:rsidP="004842AD">
      <w:pPr>
        <w:spacing w:after="0"/>
        <w:jc w:val="center"/>
        <w:rPr>
          <w:b/>
          <w:sz w:val="24"/>
          <w:szCs w:val="24"/>
        </w:rPr>
      </w:pPr>
      <w:r w:rsidRPr="00672692">
        <w:rPr>
          <w:b/>
          <w:sz w:val="24"/>
          <w:szCs w:val="24"/>
        </w:rPr>
        <w:t>PERSONE CON DISABILITÀ, LORO FAMILIARI, CONVIVENTI E CAREGIVER</w:t>
      </w:r>
      <w:r w:rsidR="004A6378" w:rsidRPr="00672692">
        <w:rPr>
          <w:b/>
          <w:sz w:val="24"/>
          <w:szCs w:val="24"/>
        </w:rPr>
        <w:t>: PROPOSTE</w:t>
      </w:r>
    </w:p>
    <w:p w14:paraId="012DDF5A" w14:textId="3154EE68" w:rsidR="00CF3B51" w:rsidRPr="00672692" w:rsidRDefault="00CF3B51" w:rsidP="00EE1458">
      <w:pPr>
        <w:spacing w:after="0"/>
        <w:rPr>
          <w:b/>
        </w:rPr>
      </w:pPr>
    </w:p>
    <w:p w14:paraId="224AC986" w14:textId="77777777" w:rsidR="00375091" w:rsidRPr="00672692" w:rsidRDefault="00375091" w:rsidP="00EE1458">
      <w:pPr>
        <w:spacing w:after="0"/>
        <w:rPr>
          <w:b/>
        </w:rPr>
      </w:pPr>
    </w:p>
    <w:p w14:paraId="1E8B87BE" w14:textId="49FF9AE3" w:rsidR="009240F6" w:rsidRPr="00672692" w:rsidRDefault="009240F6" w:rsidP="00375091">
      <w:pPr>
        <w:spacing w:after="120"/>
        <w:jc w:val="both"/>
        <w:rPr>
          <w:rFonts w:eastAsia="Palatino Linotype" w:cstheme="minorHAnsi"/>
          <w:b/>
          <w:sz w:val="24"/>
          <w:szCs w:val="24"/>
        </w:rPr>
      </w:pPr>
      <w:r w:rsidRPr="00672692">
        <w:rPr>
          <w:rFonts w:eastAsia="Palatino Linotype" w:cstheme="minorHAnsi"/>
          <w:b/>
          <w:sz w:val="24"/>
          <w:szCs w:val="24"/>
        </w:rPr>
        <w:t>Premessa</w:t>
      </w:r>
    </w:p>
    <w:p w14:paraId="3DECBED9" w14:textId="0DF58211" w:rsidR="0016755A" w:rsidRPr="00672692" w:rsidRDefault="00BB5CA6" w:rsidP="004842AD">
      <w:pPr>
        <w:spacing w:after="0"/>
        <w:jc w:val="both"/>
        <w:rPr>
          <w:rFonts w:eastAsia="Palatino Linotype" w:cstheme="minorHAnsi"/>
          <w:sz w:val="24"/>
          <w:szCs w:val="24"/>
        </w:rPr>
      </w:pPr>
      <w:r w:rsidRPr="00672692">
        <w:rPr>
          <w:rFonts w:eastAsia="Palatino Linotype" w:cstheme="minorHAnsi"/>
          <w:sz w:val="24"/>
          <w:szCs w:val="24"/>
        </w:rPr>
        <w:t xml:space="preserve">La pandemia </w:t>
      </w:r>
      <w:r w:rsidR="00946443" w:rsidRPr="00672692">
        <w:rPr>
          <w:rFonts w:eastAsia="Palatino Linotype" w:cstheme="minorHAnsi"/>
          <w:sz w:val="24"/>
          <w:szCs w:val="24"/>
        </w:rPr>
        <w:t xml:space="preserve">COVID-19 </w:t>
      </w:r>
      <w:r w:rsidR="00092265" w:rsidRPr="00672692">
        <w:rPr>
          <w:rFonts w:eastAsia="Palatino Linotype" w:cstheme="minorHAnsi"/>
          <w:sz w:val="24"/>
          <w:szCs w:val="24"/>
        </w:rPr>
        <w:t xml:space="preserve">ha </w:t>
      </w:r>
      <w:r w:rsidRPr="00672692">
        <w:rPr>
          <w:rFonts w:eastAsia="Palatino Linotype" w:cstheme="minorHAnsi"/>
          <w:sz w:val="24"/>
          <w:szCs w:val="24"/>
        </w:rPr>
        <w:t>evidenziato che le persone con disabilità (</w:t>
      </w:r>
      <w:proofErr w:type="spellStart"/>
      <w:r w:rsidRPr="00672692">
        <w:rPr>
          <w:rFonts w:eastAsia="Palatino Linotype" w:cstheme="minorHAnsi"/>
          <w:sz w:val="24"/>
          <w:szCs w:val="24"/>
        </w:rPr>
        <w:t>PcD</w:t>
      </w:r>
      <w:proofErr w:type="spellEnd"/>
      <w:r w:rsidRPr="00672692">
        <w:rPr>
          <w:rFonts w:eastAsia="Palatino Linotype" w:cstheme="minorHAnsi"/>
          <w:sz w:val="24"/>
          <w:szCs w:val="24"/>
        </w:rPr>
        <w:t xml:space="preserve">) </w:t>
      </w:r>
      <w:r w:rsidR="005B33B5" w:rsidRPr="00672692">
        <w:rPr>
          <w:rFonts w:eastAsia="Palatino Linotype" w:cstheme="minorHAnsi"/>
          <w:sz w:val="24"/>
          <w:szCs w:val="24"/>
        </w:rPr>
        <w:t xml:space="preserve">sono altamente vulnerabili </w:t>
      </w:r>
      <w:r w:rsidRPr="00672692">
        <w:rPr>
          <w:rFonts w:eastAsia="Palatino Linotype" w:cstheme="minorHAnsi"/>
          <w:sz w:val="24"/>
          <w:szCs w:val="24"/>
        </w:rPr>
        <w:t>n</w:t>
      </w:r>
      <w:r w:rsidR="005B33B5" w:rsidRPr="00672692">
        <w:rPr>
          <w:rFonts w:eastAsia="Palatino Linotype" w:cstheme="minorHAnsi"/>
          <w:sz w:val="24"/>
          <w:szCs w:val="24"/>
        </w:rPr>
        <w:t xml:space="preserve">elle situazioni emergenziali e di </w:t>
      </w:r>
      <w:r w:rsidR="004A6378" w:rsidRPr="00672692">
        <w:rPr>
          <w:rFonts w:eastAsia="Palatino Linotype" w:cstheme="minorHAnsi"/>
          <w:sz w:val="24"/>
          <w:szCs w:val="24"/>
        </w:rPr>
        <w:t>sovraccarico</w:t>
      </w:r>
      <w:r w:rsidRPr="00672692">
        <w:rPr>
          <w:rFonts w:eastAsia="Palatino Linotype" w:cstheme="minorHAnsi"/>
          <w:sz w:val="24"/>
          <w:szCs w:val="24"/>
        </w:rPr>
        <w:t xml:space="preserve"> dei servizi</w:t>
      </w:r>
      <w:r w:rsidR="005B33B5" w:rsidRPr="00672692">
        <w:rPr>
          <w:rFonts w:eastAsia="Palatino Linotype" w:cstheme="minorHAnsi"/>
          <w:sz w:val="24"/>
          <w:szCs w:val="24"/>
        </w:rPr>
        <w:t xml:space="preserve"> soci</w:t>
      </w:r>
      <w:r w:rsidR="00F3049F" w:rsidRPr="00672692">
        <w:rPr>
          <w:rFonts w:eastAsia="Palatino Linotype" w:cstheme="minorHAnsi"/>
          <w:sz w:val="24"/>
          <w:szCs w:val="24"/>
        </w:rPr>
        <w:t>o</w:t>
      </w:r>
      <w:r w:rsidR="00EB772B" w:rsidRPr="00672692">
        <w:rPr>
          <w:rFonts w:eastAsia="Palatino Linotype" w:cstheme="minorHAnsi"/>
          <w:sz w:val="24"/>
          <w:szCs w:val="24"/>
        </w:rPr>
        <w:t>-</w:t>
      </w:r>
      <w:r w:rsidR="005B33B5" w:rsidRPr="00672692">
        <w:rPr>
          <w:rFonts w:eastAsia="Palatino Linotype" w:cstheme="minorHAnsi"/>
          <w:sz w:val="24"/>
          <w:szCs w:val="24"/>
        </w:rPr>
        <w:t xml:space="preserve">sanitari. </w:t>
      </w:r>
    </w:p>
    <w:p w14:paraId="505DFE2A" w14:textId="40094018" w:rsidR="001C7C0A" w:rsidRPr="00672692" w:rsidRDefault="00182BF4" w:rsidP="004842AD">
      <w:pPr>
        <w:spacing w:after="0"/>
        <w:jc w:val="both"/>
        <w:rPr>
          <w:rFonts w:eastAsia="Palatino Linotype" w:cstheme="minorHAnsi"/>
          <w:sz w:val="24"/>
          <w:szCs w:val="24"/>
        </w:rPr>
      </w:pPr>
      <w:r w:rsidRPr="00672692">
        <w:rPr>
          <w:rFonts w:eastAsia="Palatino Linotype" w:cstheme="minorHAnsi"/>
          <w:sz w:val="24"/>
          <w:szCs w:val="24"/>
        </w:rPr>
        <w:t xml:space="preserve">Le misure </w:t>
      </w:r>
      <w:r w:rsidR="00E50803" w:rsidRPr="00672692">
        <w:rPr>
          <w:rFonts w:eastAsia="Palatino Linotype" w:cstheme="minorHAnsi"/>
          <w:sz w:val="24"/>
          <w:szCs w:val="24"/>
        </w:rPr>
        <w:t xml:space="preserve">per la prevenzione e il contenimento del contagio, </w:t>
      </w:r>
      <w:r w:rsidRPr="00672692">
        <w:rPr>
          <w:rFonts w:eastAsia="Palatino Linotype" w:cstheme="minorHAnsi"/>
          <w:sz w:val="24"/>
          <w:szCs w:val="24"/>
        </w:rPr>
        <w:t>adottate</w:t>
      </w:r>
      <w:r w:rsidR="00F362AD" w:rsidRPr="00672692">
        <w:rPr>
          <w:rFonts w:eastAsia="Palatino Linotype" w:cstheme="minorHAnsi"/>
          <w:sz w:val="24"/>
          <w:szCs w:val="24"/>
        </w:rPr>
        <w:t xml:space="preserve"> in particolare nella prima fase dell’emergenza pandemica </w:t>
      </w:r>
      <w:r w:rsidR="00237997" w:rsidRPr="00672692">
        <w:rPr>
          <w:rFonts w:eastAsia="Palatino Linotype" w:cstheme="minorHAnsi"/>
          <w:sz w:val="24"/>
          <w:szCs w:val="24"/>
        </w:rPr>
        <w:t xml:space="preserve">senza </w:t>
      </w:r>
      <w:r w:rsidR="00F362AD" w:rsidRPr="00672692">
        <w:rPr>
          <w:rFonts w:eastAsia="Palatino Linotype" w:cstheme="minorHAnsi"/>
          <w:sz w:val="24"/>
          <w:szCs w:val="24"/>
        </w:rPr>
        <w:t xml:space="preserve">un adeguato coinvolgimento delle </w:t>
      </w:r>
      <w:r w:rsidR="00E50803" w:rsidRPr="00672692">
        <w:rPr>
          <w:rFonts w:eastAsia="Palatino Linotype" w:cstheme="minorHAnsi"/>
          <w:sz w:val="24"/>
          <w:szCs w:val="24"/>
        </w:rPr>
        <w:t xml:space="preserve">associazioni delle </w:t>
      </w:r>
      <w:proofErr w:type="spellStart"/>
      <w:r w:rsidR="00E50803" w:rsidRPr="00672692">
        <w:rPr>
          <w:rFonts w:eastAsia="Palatino Linotype" w:cstheme="minorHAnsi"/>
          <w:sz w:val="24"/>
          <w:szCs w:val="24"/>
        </w:rPr>
        <w:t>PcD</w:t>
      </w:r>
      <w:proofErr w:type="spellEnd"/>
      <w:r w:rsidR="00E50803" w:rsidRPr="00672692">
        <w:rPr>
          <w:rFonts w:eastAsia="Palatino Linotype" w:cstheme="minorHAnsi"/>
          <w:sz w:val="24"/>
          <w:szCs w:val="24"/>
        </w:rPr>
        <w:t>, hanno</w:t>
      </w:r>
      <w:r w:rsidR="001C7C0A" w:rsidRPr="00672692">
        <w:rPr>
          <w:rFonts w:eastAsia="Palatino Linotype" w:cstheme="minorHAnsi"/>
          <w:sz w:val="24"/>
          <w:szCs w:val="24"/>
        </w:rPr>
        <w:t>,</w:t>
      </w:r>
      <w:r w:rsidR="00E50803" w:rsidRPr="00672692">
        <w:rPr>
          <w:rFonts w:eastAsia="Palatino Linotype" w:cstheme="minorHAnsi"/>
          <w:sz w:val="24"/>
          <w:szCs w:val="24"/>
        </w:rPr>
        <w:t xml:space="preserve"> </w:t>
      </w:r>
      <w:r w:rsidR="00237997" w:rsidRPr="00672692">
        <w:rPr>
          <w:rFonts w:eastAsia="Palatino Linotype" w:cstheme="minorHAnsi"/>
          <w:sz w:val="24"/>
          <w:szCs w:val="24"/>
        </w:rPr>
        <w:t>in molti casi,</w:t>
      </w:r>
      <w:r w:rsidRPr="00672692">
        <w:rPr>
          <w:rFonts w:eastAsia="Palatino Linotype" w:cstheme="minorHAnsi"/>
          <w:sz w:val="24"/>
          <w:szCs w:val="24"/>
        </w:rPr>
        <w:t xml:space="preserve"> aggrava</w:t>
      </w:r>
      <w:r w:rsidR="00EB772B" w:rsidRPr="00672692">
        <w:rPr>
          <w:rFonts w:eastAsia="Palatino Linotype" w:cstheme="minorHAnsi"/>
          <w:sz w:val="24"/>
          <w:szCs w:val="24"/>
        </w:rPr>
        <w:t>t</w:t>
      </w:r>
      <w:r w:rsidRPr="00672692">
        <w:rPr>
          <w:rFonts w:eastAsia="Palatino Linotype" w:cstheme="minorHAnsi"/>
          <w:sz w:val="24"/>
          <w:szCs w:val="24"/>
        </w:rPr>
        <w:t>o e talora determinato condizion</w:t>
      </w:r>
      <w:r w:rsidR="00237997" w:rsidRPr="00672692">
        <w:rPr>
          <w:rFonts w:eastAsia="Palatino Linotype" w:cstheme="minorHAnsi"/>
          <w:sz w:val="24"/>
          <w:szCs w:val="24"/>
        </w:rPr>
        <w:t>i</w:t>
      </w:r>
      <w:r w:rsidRPr="00672692">
        <w:rPr>
          <w:rFonts w:eastAsia="Palatino Linotype" w:cstheme="minorHAnsi"/>
          <w:sz w:val="24"/>
          <w:szCs w:val="24"/>
        </w:rPr>
        <w:t xml:space="preserve"> di abbandono e d’isolamento</w:t>
      </w:r>
      <w:r w:rsidR="00F3049F" w:rsidRPr="00672692">
        <w:rPr>
          <w:rFonts w:eastAsia="Palatino Linotype" w:cstheme="minorHAnsi"/>
          <w:sz w:val="24"/>
          <w:szCs w:val="24"/>
        </w:rPr>
        <w:t xml:space="preserve"> per la fascia di popolazione più fragile</w:t>
      </w:r>
      <w:r w:rsidRPr="00672692">
        <w:rPr>
          <w:rFonts w:eastAsia="Palatino Linotype" w:cstheme="minorHAnsi"/>
          <w:sz w:val="24"/>
          <w:szCs w:val="24"/>
        </w:rPr>
        <w:t>.</w:t>
      </w:r>
      <w:r w:rsidR="00481A27" w:rsidRPr="00672692">
        <w:rPr>
          <w:rFonts w:eastAsia="Palatino Linotype" w:cstheme="minorHAnsi"/>
          <w:sz w:val="24"/>
          <w:szCs w:val="24"/>
        </w:rPr>
        <w:t xml:space="preserve"> </w:t>
      </w:r>
    </w:p>
    <w:p w14:paraId="5B7CF08B" w14:textId="4D0429F2" w:rsidR="00D603C0" w:rsidRPr="00672692" w:rsidRDefault="00D165BB" w:rsidP="004842AD">
      <w:pPr>
        <w:spacing w:after="0"/>
        <w:jc w:val="both"/>
        <w:rPr>
          <w:rFonts w:eastAsia="Palatino Linotype" w:cstheme="minorHAnsi"/>
          <w:sz w:val="24"/>
          <w:szCs w:val="24"/>
        </w:rPr>
      </w:pPr>
      <w:r w:rsidRPr="00672692">
        <w:rPr>
          <w:rFonts w:eastAsia="Palatino Linotype" w:cstheme="minorHAnsi"/>
          <w:sz w:val="24"/>
          <w:szCs w:val="24"/>
        </w:rPr>
        <w:t>L’emergenza sanitaria dovuta alla pandemia COVID-19</w:t>
      </w:r>
      <w:r w:rsidR="00C14684" w:rsidRPr="00672692">
        <w:rPr>
          <w:rFonts w:eastAsia="Palatino Linotype" w:cstheme="minorHAnsi"/>
          <w:sz w:val="24"/>
          <w:szCs w:val="24"/>
        </w:rPr>
        <w:t>, inoltre,</w:t>
      </w:r>
      <w:r w:rsidR="00481A27" w:rsidRPr="00672692">
        <w:rPr>
          <w:rFonts w:eastAsia="Palatino Linotype" w:cstheme="minorHAnsi"/>
          <w:sz w:val="24"/>
          <w:szCs w:val="24"/>
        </w:rPr>
        <w:t xml:space="preserve"> ha </w:t>
      </w:r>
      <w:r w:rsidR="00240B2B" w:rsidRPr="00672692">
        <w:rPr>
          <w:rFonts w:eastAsia="Palatino Linotype" w:cstheme="minorHAnsi"/>
          <w:sz w:val="24"/>
          <w:szCs w:val="24"/>
        </w:rPr>
        <w:t xml:space="preserve">messo in luce le debolezze </w:t>
      </w:r>
      <w:r w:rsidR="00481A27" w:rsidRPr="00672692">
        <w:rPr>
          <w:rFonts w:eastAsia="Palatino Linotype" w:cstheme="minorHAnsi"/>
          <w:sz w:val="24"/>
          <w:szCs w:val="24"/>
        </w:rPr>
        <w:t xml:space="preserve">dei servizi territoriali </w:t>
      </w:r>
      <w:r w:rsidR="00D603C0" w:rsidRPr="00672692">
        <w:rPr>
          <w:rFonts w:eastAsia="Palatino Linotype" w:cstheme="minorHAnsi"/>
          <w:sz w:val="24"/>
          <w:szCs w:val="24"/>
        </w:rPr>
        <w:t>nell’</w:t>
      </w:r>
      <w:r w:rsidR="00481A27" w:rsidRPr="00672692">
        <w:rPr>
          <w:rFonts w:eastAsia="Palatino Linotype" w:cstheme="minorHAnsi"/>
          <w:sz w:val="24"/>
          <w:szCs w:val="24"/>
        </w:rPr>
        <w:t xml:space="preserve">affrontare la complessità dei bisogni emersi durante </w:t>
      </w:r>
      <w:r w:rsidR="00240B2B" w:rsidRPr="00672692">
        <w:rPr>
          <w:rFonts w:eastAsia="Palatino Linotype" w:cstheme="minorHAnsi"/>
          <w:sz w:val="24"/>
          <w:szCs w:val="24"/>
        </w:rPr>
        <w:t xml:space="preserve">tale </w:t>
      </w:r>
      <w:r w:rsidR="00481A27" w:rsidRPr="00672692">
        <w:rPr>
          <w:rFonts w:eastAsia="Palatino Linotype" w:cstheme="minorHAnsi"/>
          <w:sz w:val="24"/>
          <w:szCs w:val="24"/>
        </w:rPr>
        <w:t>crisi.</w:t>
      </w:r>
      <w:r w:rsidR="00182BF4" w:rsidRPr="00672692">
        <w:rPr>
          <w:rFonts w:eastAsia="Palatino Linotype" w:cstheme="minorHAnsi"/>
          <w:sz w:val="24"/>
          <w:szCs w:val="24"/>
        </w:rPr>
        <w:t xml:space="preserve"> </w:t>
      </w:r>
    </w:p>
    <w:p w14:paraId="32B8A045" w14:textId="1816B173" w:rsidR="00383CB7" w:rsidRPr="00672692" w:rsidRDefault="00383CB7" w:rsidP="004842AD">
      <w:pPr>
        <w:spacing w:after="0"/>
        <w:jc w:val="both"/>
        <w:rPr>
          <w:rFonts w:eastAsia="Palatino Linotype" w:cstheme="minorHAnsi"/>
          <w:sz w:val="24"/>
          <w:szCs w:val="24"/>
        </w:rPr>
      </w:pPr>
      <w:r w:rsidRPr="00672692">
        <w:rPr>
          <w:rFonts w:eastAsia="Palatino Linotype" w:cstheme="minorHAnsi"/>
          <w:sz w:val="24"/>
          <w:szCs w:val="24"/>
        </w:rPr>
        <w:t xml:space="preserve">Le persone con disabilità possono essere a maggior rischio di contrarre il Covid-19 e in alcuni casi </w:t>
      </w:r>
      <w:r w:rsidR="001368F7" w:rsidRPr="00672692">
        <w:rPr>
          <w:rFonts w:eastAsia="Palatino Linotype" w:cstheme="minorHAnsi"/>
          <w:sz w:val="24"/>
          <w:szCs w:val="24"/>
        </w:rPr>
        <w:t xml:space="preserve">possono </w:t>
      </w:r>
      <w:r w:rsidRPr="00672692">
        <w:rPr>
          <w:rFonts w:eastAsia="Palatino Linotype" w:cstheme="minorHAnsi"/>
          <w:sz w:val="24"/>
          <w:szCs w:val="24"/>
        </w:rPr>
        <w:t>presenta</w:t>
      </w:r>
      <w:r w:rsidR="001368F7" w:rsidRPr="00672692">
        <w:rPr>
          <w:rFonts w:eastAsia="Palatino Linotype" w:cstheme="minorHAnsi"/>
          <w:sz w:val="24"/>
          <w:szCs w:val="24"/>
        </w:rPr>
        <w:t>re</w:t>
      </w:r>
      <w:r w:rsidRPr="00672692">
        <w:rPr>
          <w:rFonts w:eastAsia="Palatino Linotype" w:cstheme="minorHAnsi"/>
          <w:sz w:val="24"/>
          <w:szCs w:val="24"/>
        </w:rPr>
        <w:t xml:space="preserve"> un rischio aumentato di esiti sfavorevoli, compresa la mortalità</w:t>
      </w:r>
      <w:r w:rsidRPr="00672692">
        <w:rPr>
          <w:rStyle w:val="Rimandonotaapidipagina"/>
          <w:rFonts w:eastAsia="Palatino Linotype" w:cstheme="minorHAnsi"/>
          <w:sz w:val="24"/>
          <w:szCs w:val="24"/>
        </w:rPr>
        <w:footnoteReference w:id="1"/>
      </w:r>
      <w:r w:rsidRPr="00672692">
        <w:rPr>
          <w:rFonts w:eastAsia="Palatino Linotype" w:cstheme="minorHAnsi"/>
          <w:sz w:val="24"/>
          <w:szCs w:val="24"/>
        </w:rPr>
        <w:t>.</w:t>
      </w:r>
    </w:p>
    <w:p w14:paraId="5FC68211" w14:textId="3E625469" w:rsidR="00991602" w:rsidRPr="00672692" w:rsidRDefault="001368F7" w:rsidP="004842AD">
      <w:pPr>
        <w:spacing w:after="0"/>
        <w:jc w:val="both"/>
        <w:rPr>
          <w:rFonts w:eastAsia="Palatino Linotype" w:cstheme="minorHAnsi"/>
          <w:sz w:val="24"/>
          <w:szCs w:val="24"/>
        </w:rPr>
      </w:pPr>
      <w:r w:rsidRPr="00672692">
        <w:rPr>
          <w:rFonts w:eastAsia="Palatino Linotype" w:cstheme="minorHAnsi"/>
          <w:sz w:val="24"/>
          <w:szCs w:val="24"/>
        </w:rPr>
        <w:t xml:space="preserve">Il differente impatto della pandemia </w:t>
      </w:r>
      <w:r w:rsidR="00A46EE5" w:rsidRPr="00672692">
        <w:rPr>
          <w:rFonts w:eastAsia="Palatino Linotype" w:cstheme="minorHAnsi"/>
          <w:sz w:val="24"/>
          <w:szCs w:val="24"/>
        </w:rPr>
        <w:t>nella popolazione</w:t>
      </w:r>
      <w:r w:rsidRPr="00672692">
        <w:rPr>
          <w:rFonts w:eastAsia="Palatino Linotype" w:cstheme="minorHAnsi"/>
          <w:sz w:val="24"/>
          <w:szCs w:val="24"/>
        </w:rPr>
        <w:t>,</w:t>
      </w:r>
      <w:r w:rsidR="00A46EE5" w:rsidRPr="00672692">
        <w:rPr>
          <w:rFonts w:eastAsia="Palatino Linotype" w:cstheme="minorHAnsi"/>
          <w:sz w:val="24"/>
          <w:szCs w:val="24"/>
        </w:rPr>
        <w:t xml:space="preserve"> </w:t>
      </w:r>
      <w:r w:rsidR="00A04477" w:rsidRPr="00672692">
        <w:rPr>
          <w:rFonts w:eastAsia="Palatino Linotype" w:cstheme="minorHAnsi"/>
          <w:sz w:val="24"/>
          <w:szCs w:val="24"/>
        </w:rPr>
        <w:t>dovrebbe</w:t>
      </w:r>
      <w:r w:rsidR="00F3049F" w:rsidRPr="00672692">
        <w:rPr>
          <w:rFonts w:eastAsia="Palatino Linotype" w:cstheme="minorHAnsi"/>
          <w:sz w:val="24"/>
          <w:szCs w:val="24"/>
        </w:rPr>
        <w:t xml:space="preserve"> far riflettere gli organi decisori</w:t>
      </w:r>
      <w:r w:rsidR="00A04477" w:rsidRPr="00672692">
        <w:rPr>
          <w:rFonts w:eastAsia="Palatino Linotype" w:cstheme="minorHAnsi"/>
          <w:sz w:val="24"/>
          <w:szCs w:val="24"/>
        </w:rPr>
        <w:t xml:space="preserve"> e i comitati tecnici</w:t>
      </w:r>
      <w:r w:rsidR="00A46EE5" w:rsidRPr="00672692">
        <w:rPr>
          <w:rFonts w:eastAsia="Palatino Linotype" w:cstheme="minorHAnsi"/>
          <w:sz w:val="24"/>
          <w:szCs w:val="24"/>
        </w:rPr>
        <w:t xml:space="preserve"> quando pianificano interventi che interessano anche le </w:t>
      </w:r>
      <w:proofErr w:type="spellStart"/>
      <w:r w:rsidR="00A46EE5" w:rsidRPr="00672692">
        <w:rPr>
          <w:rFonts w:eastAsia="Palatino Linotype" w:cstheme="minorHAnsi"/>
          <w:sz w:val="24"/>
          <w:szCs w:val="24"/>
        </w:rPr>
        <w:t>PcD</w:t>
      </w:r>
      <w:proofErr w:type="spellEnd"/>
      <w:r w:rsidR="00A04477" w:rsidRPr="00672692">
        <w:rPr>
          <w:rFonts w:eastAsia="Palatino Linotype" w:cstheme="minorHAnsi"/>
          <w:sz w:val="24"/>
          <w:szCs w:val="24"/>
        </w:rPr>
        <w:t>.</w:t>
      </w:r>
    </w:p>
    <w:p w14:paraId="346CBFA8" w14:textId="77777777" w:rsidR="001368F7" w:rsidRPr="00672692" w:rsidRDefault="001368F7" w:rsidP="004842A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348BA57D" w14:textId="7AB95E8A" w:rsidR="00237997" w:rsidRPr="00672692" w:rsidRDefault="00237997" w:rsidP="003F086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72692">
        <w:rPr>
          <w:rFonts w:asciiTheme="minorHAnsi" w:hAnsiTheme="minorHAnsi" w:cstheme="minorHAnsi"/>
        </w:rPr>
        <w:t>Il </w:t>
      </w:r>
      <w:r w:rsidRPr="00672692">
        <w:rPr>
          <w:rStyle w:val="Enfasigrassetto"/>
          <w:rFonts w:asciiTheme="minorHAnsi" w:hAnsiTheme="minorHAnsi" w:cstheme="minorHAnsi"/>
        </w:rPr>
        <w:t>Piano strategico nazionale dei vaccini per la prevenzione delle infezioni da SARS-CoV-2</w:t>
      </w:r>
      <w:r w:rsidRPr="00672692">
        <w:rPr>
          <w:rFonts w:asciiTheme="minorHAnsi" w:hAnsiTheme="minorHAnsi" w:cstheme="minorHAnsi"/>
        </w:rPr>
        <w:t>, adottato con Decreto del 12 marzo 2021</w:t>
      </w:r>
      <w:r w:rsidR="00C14684" w:rsidRPr="00672692">
        <w:rPr>
          <w:rFonts w:asciiTheme="minorHAnsi" w:hAnsiTheme="minorHAnsi" w:cstheme="minorHAnsi"/>
        </w:rPr>
        <w:t>,</w:t>
      </w:r>
      <w:r w:rsidRPr="00672692">
        <w:rPr>
          <w:rFonts w:asciiTheme="minorHAnsi" w:hAnsiTheme="minorHAnsi" w:cstheme="minorHAnsi"/>
        </w:rPr>
        <w:t xml:space="preserve"> si compone di due documenti:</w:t>
      </w:r>
    </w:p>
    <w:p w14:paraId="6C588A98" w14:textId="5160A3C3" w:rsidR="00237997" w:rsidRPr="00672692" w:rsidRDefault="00C14684" w:rsidP="003F086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>g</w:t>
      </w:r>
      <w:r w:rsidR="00237997" w:rsidRPr="00672692">
        <w:rPr>
          <w:rFonts w:cstheme="minorHAnsi"/>
          <w:sz w:val="24"/>
          <w:szCs w:val="24"/>
        </w:rPr>
        <w:t>l</w:t>
      </w:r>
      <w:r w:rsidRPr="00672692">
        <w:rPr>
          <w:rFonts w:cstheme="minorHAnsi"/>
          <w:sz w:val="24"/>
          <w:szCs w:val="24"/>
        </w:rPr>
        <w:t>i</w:t>
      </w:r>
      <w:r w:rsidR="00237997" w:rsidRPr="00672692">
        <w:rPr>
          <w:rFonts w:cstheme="minorHAnsi"/>
          <w:sz w:val="24"/>
          <w:szCs w:val="24"/>
        </w:rPr>
        <w:t xml:space="preserve"> </w:t>
      </w:r>
      <w:hyperlink r:id="rId8" w:history="1">
        <w:r w:rsidR="00237997" w:rsidRPr="00672692">
          <w:rPr>
            <w:rStyle w:val="Collegamentoipertestuale"/>
            <w:rFonts w:cstheme="minorHAnsi"/>
            <w:i/>
            <w:iCs/>
            <w:color w:val="auto"/>
            <w:sz w:val="24"/>
            <w:szCs w:val="24"/>
            <w:u w:val="none"/>
          </w:rPr>
          <w:t>Elementi di preparazione della strategia vaccinale</w:t>
        </w:r>
      </w:hyperlink>
      <w:r w:rsidR="00D94660" w:rsidRPr="00672692">
        <w:rPr>
          <w:rStyle w:val="Enfasigrassetto"/>
          <w:rFonts w:cstheme="minorHAnsi"/>
          <w:sz w:val="24"/>
          <w:szCs w:val="24"/>
        </w:rPr>
        <w:t xml:space="preserve"> </w:t>
      </w:r>
      <w:r w:rsidR="00237997" w:rsidRPr="00672692">
        <w:rPr>
          <w:rFonts w:cstheme="minorHAnsi"/>
          <w:sz w:val="24"/>
          <w:szCs w:val="24"/>
        </w:rPr>
        <w:t>(Decreto</w:t>
      </w:r>
      <w:r w:rsidR="00D94660" w:rsidRPr="00672692">
        <w:rPr>
          <w:rFonts w:cstheme="minorHAnsi"/>
          <w:sz w:val="24"/>
          <w:szCs w:val="24"/>
        </w:rPr>
        <w:t xml:space="preserve"> </w:t>
      </w:r>
      <w:r w:rsidR="00237997" w:rsidRPr="00672692">
        <w:rPr>
          <w:rFonts w:cstheme="minorHAnsi"/>
          <w:sz w:val="24"/>
          <w:szCs w:val="24"/>
        </w:rPr>
        <w:t>2 gennaio 2021)</w:t>
      </w:r>
    </w:p>
    <w:p w14:paraId="23DBDE8F" w14:textId="47EEDC45" w:rsidR="00C14684" w:rsidRPr="00672692" w:rsidRDefault="00237997" w:rsidP="003F0864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>le</w:t>
      </w:r>
      <w:r w:rsidR="00D94660" w:rsidRPr="00672692">
        <w:rPr>
          <w:rFonts w:cstheme="minorHAnsi"/>
          <w:sz w:val="24"/>
          <w:szCs w:val="24"/>
        </w:rPr>
        <w:t xml:space="preserve"> </w:t>
      </w:r>
      <w:hyperlink r:id="rId9" w:history="1">
        <w:r w:rsidRPr="00672692">
          <w:rPr>
            <w:rStyle w:val="Collegamentoipertestuale"/>
            <w:rFonts w:cstheme="minorHAnsi"/>
            <w:i/>
            <w:iCs/>
            <w:color w:val="auto"/>
            <w:sz w:val="24"/>
            <w:szCs w:val="24"/>
            <w:u w:val="none"/>
          </w:rPr>
          <w:t>Raccomandazioni ad interim sui gruppi target della vaccinazione anti SARS-CoV-2/COVID-19</w:t>
        </w:r>
      </w:hyperlink>
      <w:r w:rsidR="00D94660" w:rsidRPr="0067269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672692">
        <w:rPr>
          <w:rFonts w:cstheme="minorHAnsi"/>
          <w:sz w:val="24"/>
          <w:szCs w:val="24"/>
        </w:rPr>
        <w:t>del</w:t>
      </w:r>
      <w:r w:rsidR="00D94660" w:rsidRPr="00672692">
        <w:rPr>
          <w:rFonts w:cstheme="minorHAnsi"/>
          <w:sz w:val="24"/>
          <w:szCs w:val="24"/>
        </w:rPr>
        <w:t xml:space="preserve"> </w:t>
      </w:r>
      <w:r w:rsidRPr="00672692">
        <w:rPr>
          <w:rFonts w:cstheme="minorHAnsi"/>
          <w:sz w:val="24"/>
          <w:szCs w:val="24"/>
        </w:rPr>
        <w:t>10 marzo 2021</w:t>
      </w:r>
      <w:r w:rsidR="00C14684" w:rsidRPr="00672692">
        <w:rPr>
          <w:rFonts w:cstheme="minorHAnsi"/>
          <w:sz w:val="24"/>
          <w:szCs w:val="24"/>
        </w:rPr>
        <w:t>.</w:t>
      </w:r>
    </w:p>
    <w:p w14:paraId="10611D36" w14:textId="664B73AB" w:rsidR="00375091" w:rsidRPr="00672692" w:rsidRDefault="00C14684" w:rsidP="00D946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>Le Raccomandazioni</w:t>
      </w:r>
      <w:r w:rsidR="00D94660" w:rsidRPr="00672692">
        <w:rPr>
          <w:rFonts w:cstheme="minorHAnsi"/>
          <w:sz w:val="24"/>
          <w:szCs w:val="24"/>
        </w:rPr>
        <w:t xml:space="preserve"> </w:t>
      </w:r>
      <w:r w:rsidR="00D94660" w:rsidRPr="00672692">
        <w:rPr>
          <w:rFonts w:cstheme="minorHAnsi"/>
          <w:i/>
          <w:sz w:val="24"/>
          <w:szCs w:val="24"/>
        </w:rPr>
        <w:t>ad interim</w:t>
      </w:r>
      <w:r w:rsidRPr="00672692">
        <w:rPr>
          <w:rFonts w:cstheme="minorHAnsi"/>
          <w:sz w:val="24"/>
          <w:szCs w:val="24"/>
        </w:rPr>
        <w:t>,</w:t>
      </w:r>
      <w:r w:rsidR="00237997" w:rsidRPr="00672692">
        <w:rPr>
          <w:rFonts w:cstheme="minorHAnsi"/>
          <w:sz w:val="24"/>
          <w:szCs w:val="24"/>
        </w:rPr>
        <w:t xml:space="preserve"> </w:t>
      </w:r>
      <w:r w:rsidR="00D94660" w:rsidRPr="00672692">
        <w:rPr>
          <w:rFonts w:cstheme="minorHAnsi"/>
          <w:sz w:val="24"/>
          <w:szCs w:val="24"/>
        </w:rPr>
        <w:t xml:space="preserve">nel definire i gruppi di popolazione a cui dare priorità nella campagna di vaccinazione, hanno incluso nella prima categoria in ordine di priorità </w:t>
      </w:r>
      <w:r w:rsidR="00237997" w:rsidRPr="00672692">
        <w:rPr>
          <w:rFonts w:cstheme="minorHAnsi"/>
          <w:sz w:val="24"/>
          <w:szCs w:val="24"/>
        </w:rPr>
        <w:t xml:space="preserve">le persone con disabilità grave - unitamente ai familiari, conviventi e </w:t>
      </w:r>
      <w:proofErr w:type="spellStart"/>
      <w:r w:rsidR="00237997" w:rsidRPr="00672692">
        <w:rPr>
          <w:rFonts w:cstheme="minorHAnsi"/>
          <w:sz w:val="24"/>
          <w:szCs w:val="24"/>
        </w:rPr>
        <w:t>caregiver</w:t>
      </w:r>
      <w:proofErr w:type="spellEnd"/>
      <w:r w:rsidR="00D94660" w:rsidRPr="00672692">
        <w:rPr>
          <w:rFonts w:cstheme="minorHAnsi"/>
          <w:sz w:val="24"/>
          <w:szCs w:val="24"/>
        </w:rPr>
        <w:t>:</w:t>
      </w:r>
    </w:p>
    <w:p w14:paraId="77A14334" w14:textId="77777777" w:rsidR="00375091" w:rsidRPr="00672692" w:rsidRDefault="00375091">
      <w:pPr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br w:type="page"/>
      </w:r>
    </w:p>
    <w:p w14:paraId="71A51CB6" w14:textId="77777777" w:rsidR="00D94660" w:rsidRPr="00672692" w:rsidRDefault="00D94660" w:rsidP="00D946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A38467" w14:textId="77777777" w:rsidR="00237997" w:rsidRPr="00672692" w:rsidRDefault="00237997" w:rsidP="0094644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672692">
        <w:rPr>
          <w:rFonts w:cstheme="minorHAnsi"/>
          <w:b/>
          <w:sz w:val="24"/>
          <w:szCs w:val="24"/>
        </w:rPr>
        <w:t>Categoria 1. Elevata fragilità (persone estremamente vulnerabili; disabilità grave);</w:t>
      </w:r>
    </w:p>
    <w:p w14:paraId="631B52C2" w14:textId="77777777" w:rsidR="00237997" w:rsidRPr="00672692" w:rsidRDefault="00237997" w:rsidP="00D9466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b/>
          <w:sz w:val="24"/>
          <w:szCs w:val="24"/>
        </w:rPr>
        <w:t>Tabella 2. Disabilità gravi</w:t>
      </w:r>
      <w:r w:rsidRPr="00672692">
        <w:rPr>
          <w:rFonts w:cstheme="minorHAnsi"/>
          <w:sz w:val="24"/>
          <w:szCs w:val="24"/>
        </w:rPr>
        <w:t>.</w:t>
      </w:r>
    </w:p>
    <w:p w14:paraId="2A42D9AF" w14:textId="77777777" w:rsidR="00237997" w:rsidRPr="00672692" w:rsidRDefault="00237997" w:rsidP="004842A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6"/>
      </w:tblGrid>
      <w:tr w:rsidR="00672692" w:rsidRPr="00672692" w14:paraId="6D60F2E3" w14:textId="77777777" w:rsidTr="00D516BC">
        <w:trPr>
          <w:trHeight w:val="333"/>
        </w:trPr>
        <w:tc>
          <w:tcPr>
            <w:tcW w:w="4390" w:type="dxa"/>
            <w:vAlign w:val="center"/>
          </w:tcPr>
          <w:p w14:paraId="61A5D60E" w14:textId="77777777" w:rsidR="00237997" w:rsidRPr="00672692" w:rsidRDefault="00237997" w:rsidP="004842A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72692">
              <w:rPr>
                <w:rFonts w:cstheme="minorHAnsi"/>
                <w:sz w:val="24"/>
                <w:szCs w:val="24"/>
              </w:rPr>
              <w:t>CONDIZIONE</w:t>
            </w:r>
          </w:p>
        </w:tc>
        <w:tc>
          <w:tcPr>
            <w:tcW w:w="4966" w:type="dxa"/>
            <w:vAlign w:val="center"/>
          </w:tcPr>
          <w:p w14:paraId="3211BBDE" w14:textId="77777777" w:rsidR="00237997" w:rsidRPr="00672692" w:rsidRDefault="00237997" w:rsidP="004842A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72692">
              <w:rPr>
                <w:rFonts w:cstheme="minorHAnsi"/>
                <w:sz w:val="24"/>
                <w:szCs w:val="24"/>
              </w:rPr>
              <w:t>DEFINIZIONE</w:t>
            </w:r>
          </w:p>
        </w:tc>
      </w:tr>
      <w:tr w:rsidR="00672692" w:rsidRPr="00672692" w14:paraId="32D2CEEE" w14:textId="77777777" w:rsidTr="00D516BC">
        <w:trPr>
          <w:trHeight w:val="321"/>
        </w:trPr>
        <w:tc>
          <w:tcPr>
            <w:tcW w:w="4390" w:type="dxa"/>
            <w:vAlign w:val="center"/>
          </w:tcPr>
          <w:p w14:paraId="3B52D3FE" w14:textId="77777777" w:rsidR="00237997" w:rsidRPr="00672692" w:rsidRDefault="00237997" w:rsidP="004842A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72692">
              <w:rPr>
                <w:rFonts w:cstheme="minorHAnsi"/>
                <w:sz w:val="24"/>
                <w:szCs w:val="24"/>
              </w:rPr>
              <w:t>disabilità (fisica, sensoriale, intellettiva, psichica)</w:t>
            </w:r>
          </w:p>
        </w:tc>
        <w:tc>
          <w:tcPr>
            <w:tcW w:w="4966" w:type="dxa"/>
            <w:vAlign w:val="center"/>
          </w:tcPr>
          <w:p w14:paraId="739B95E8" w14:textId="77777777" w:rsidR="00237997" w:rsidRPr="00672692" w:rsidRDefault="00237997" w:rsidP="004842A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72692">
              <w:rPr>
                <w:rFonts w:cstheme="minorHAnsi"/>
                <w:sz w:val="24"/>
                <w:szCs w:val="24"/>
              </w:rPr>
              <w:t>Disabili gravi ai sensi della legge 104/92 art. 3 comma 3**</w:t>
            </w:r>
          </w:p>
        </w:tc>
      </w:tr>
      <w:tr w:rsidR="00237997" w:rsidRPr="00672692" w14:paraId="6B9685E2" w14:textId="77777777" w:rsidTr="00D516BC">
        <w:trPr>
          <w:trHeight w:val="333"/>
        </w:trPr>
        <w:tc>
          <w:tcPr>
            <w:tcW w:w="9356" w:type="dxa"/>
            <w:gridSpan w:val="2"/>
            <w:vAlign w:val="center"/>
          </w:tcPr>
          <w:p w14:paraId="5C595ECB" w14:textId="77777777" w:rsidR="00237997" w:rsidRPr="00672692" w:rsidRDefault="00237997" w:rsidP="004842A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72692">
              <w:rPr>
                <w:rFonts w:cstheme="minorHAnsi"/>
                <w:sz w:val="24"/>
                <w:szCs w:val="24"/>
              </w:rPr>
              <w:t xml:space="preserve">** Vaccinare familiari, conviventi e </w:t>
            </w:r>
            <w:proofErr w:type="spellStart"/>
            <w:r w:rsidRPr="002F445D">
              <w:rPr>
                <w:rFonts w:cstheme="minorHAnsi"/>
                <w:i/>
                <w:sz w:val="24"/>
                <w:szCs w:val="24"/>
              </w:rPr>
              <w:t>caregiver</w:t>
            </w:r>
            <w:proofErr w:type="spellEnd"/>
            <w:r w:rsidRPr="00672692">
              <w:rPr>
                <w:rFonts w:cstheme="minorHAnsi"/>
                <w:sz w:val="24"/>
                <w:szCs w:val="24"/>
              </w:rPr>
              <w:t xml:space="preserve"> che forniscono assistenza continuativa in forma gratuita o a contratto.</w:t>
            </w:r>
          </w:p>
        </w:tc>
      </w:tr>
    </w:tbl>
    <w:p w14:paraId="089B1DC6" w14:textId="2442BD16" w:rsidR="00237997" w:rsidRPr="00672692" w:rsidRDefault="00237997" w:rsidP="004842AD">
      <w:pPr>
        <w:spacing w:after="0"/>
        <w:rPr>
          <w:rFonts w:cstheme="minorHAnsi"/>
          <w:sz w:val="24"/>
          <w:szCs w:val="24"/>
        </w:rPr>
      </w:pPr>
    </w:p>
    <w:p w14:paraId="2F5CCAD3" w14:textId="77777777" w:rsidR="00375091" w:rsidRPr="00672692" w:rsidRDefault="00375091" w:rsidP="004842AD">
      <w:pPr>
        <w:spacing w:after="0"/>
        <w:rPr>
          <w:rFonts w:cstheme="minorHAnsi"/>
          <w:sz w:val="24"/>
          <w:szCs w:val="24"/>
        </w:rPr>
      </w:pPr>
    </w:p>
    <w:p w14:paraId="6EAC6BC8" w14:textId="3C85DCB5" w:rsidR="009240F6" w:rsidRPr="00672692" w:rsidRDefault="009240F6" w:rsidP="00375091">
      <w:pPr>
        <w:pStyle w:val="NormaleWeb"/>
        <w:spacing w:before="0" w:beforeAutospacing="0" w:after="120" w:afterAutospacing="0" w:line="276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72692">
        <w:rPr>
          <w:rFonts w:asciiTheme="minorHAnsi" w:eastAsiaTheme="minorHAnsi" w:hAnsiTheme="minorHAnsi" w:cstheme="minorHAnsi"/>
          <w:b/>
          <w:lang w:eastAsia="en-US"/>
        </w:rPr>
        <w:t>Analisi della situazione attuale</w:t>
      </w:r>
    </w:p>
    <w:p w14:paraId="118A5A63" w14:textId="0BB9B6F4" w:rsidR="0016755A" w:rsidRPr="00672692" w:rsidRDefault="00A21277" w:rsidP="004842AD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>L</w:t>
      </w:r>
      <w:r w:rsidR="00237997" w:rsidRPr="00672692">
        <w:rPr>
          <w:rFonts w:asciiTheme="minorHAnsi" w:eastAsiaTheme="minorHAnsi" w:hAnsiTheme="minorHAnsi" w:cstheme="minorHAnsi"/>
          <w:lang w:eastAsia="en-US"/>
        </w:rPr>
        <w:t>e indicazioni del Piano nazionale, relative alla fase 2 della campagna vaccinale, s</w:t>
      </w:r>
      <w:r w:rsidRPr="00672692">
        <w:rPr>
          <w:rFonts w:asciiTheme="minorHAnsi" w:eastAsiaTheme="minorHAnsi" w:hAnsiTheme="minorHAnsi" w:cstheme="minorHAnsi"/>
          <w:lang w:eastAsia="en-US"/>
        </w:rPr>
        <w:t>o</w:t>
      </w:r>
      <w:r w:rsidR="00237997" w:rsidRPr="00672692">
        <w:rPr>
          <w:rFonts w:asciiTheme="minorHAnsi" w:eastAsiaTheme="minorHAnsi" w:hAnsiTheme="minorHAnsi" w:cstheme="minorHAnsi"/>
          <w:lang w:eastAsia="en-US"/>
        </w:rPr>
        <w:t>no chiare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  <w:r w:rsidR="00946443" w:rsidRPr="00672692">
        <w:rPr>
          <w:rFonts w:asciiTheme="minorHAnsi" w:eastAsiaTheme="minorHAnsi" w:hAnsiTheme="minorHAnsi" w:cstheme="minorHAnsi"/>
          <w:lang w:eastAsia="en-US"/>
        </w:rPr>
        <w:t>rispetto alle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 categorie prioritarie ma non esaustive </w:t>
      </w:r>
      <w:r w:rsidR="0016755A" w:rsidRPr="00672692">
        <w:rPr>
          <w:rFonts w:asciiTheme="minorHAnsi" w:eastAsiaTheme="minorHAnsi" w:hAnsiTheme="minorHAnsi" w:cstheme="minorHAnsi"/>
          <w:lang w:eastAsia="en-US"/>
        </w:rPr>
        <w:t>riguardo alla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 logistica di gestione del processo vaccinale </w:t>
      </w:r>
      <w:r w:rsidR="0016755A" w:rsidRPr="00672692">
        <w:rPr>
          <w:rFonts w:asciiTheme="minorHAnsi" w:eastAsiaTheme="minorHAnsi" w:hAnsiTheme="minorHAnsi" w:cstheme="minorHAnsi"/>
          <w:lang w:eastAsia="en-US"/>
        </w:rPr>
        <w:t xml:space="preserve">per </w:t>
      </w:r>
      <w:r w:rsidRPr="00672692">
        <w:rPr>
          <w:rFonts w:asciiTheme="minorHAnsi" w:eastAsiaTheme="minorHAnsi" w:hAnsiTheme="minorHAnsi" w:cstheme="minorHAnsi"/>
          <w:lang w:eastAsia="en-US"/>
        </w:rPr>
        <w:t>l</w:t>
      </w:r>
      <w:r w:rsidR="00670EC4" w:rsidRPr="00672692">
        <w:rPr>
          <w:rFonts w:asciiTheme="minorHAnsi" w:eastAsiaTheme="minorHAnsi" w:hAnsiTheme="minorHAnsi" w:cstheme="minorHAnsi"/>
          <w:lang w:eastAsia="en-US"/>
        </w:rPr>
        <w:t xml:space="preserve">e persone con </w:t>
      </w:r>
      <w:r w:rsidRPr="00672692">
        <w:rPr>
          <w:rFonts w:asciiTheme="minorHAnsi" w:eastAsiaTheme="minorHAnsi" w:hAnsiTheme="minorHAnsi" w:cstheme="minorHAnsi"/>
          <w:lang w:eastAsia="en-US"/>
        </w:rPr>
        <w:t>disabilità grave.</w:t>
      </w:r>
      <w:r w:rsidR="00670EC4"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20A3B474" w14:textId="77777777" w:rsidR="00316183" w:rsidRPr="00672692" w:rsidRDefault="0016755A" w:rsidP="004842AD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 xml:space="preserve">Si evidenzia l’esigenza </w:t>
      </w:r>
      <w:r w:rsidR="0039173F" w:rsidRPr="00672692">
        <w:rPr>
          <w:rFonts w:asciiTheme="minorHAnsi" w:eastAsiaTheme="minorHAnsi" w:hAnsiTheme="minorHAnsi" w:cstheme="minorHAnsi"/>
          <w:lang w:eastAsia="en-US"/>
        </w:rPr>
        <w:t>di condividere, a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 xml:space="preserve"> livello nazionale e locale</w:t>
      </w:r>
      <w:r w:rsidR="0039173F" w:rsidRPr="00672692">
        <w:rPr>
          <w:rFonts w:asciiTheme="minorHAnsi" w:eastAsiaTheme="minorHAnsi" w:hAnsiTheme="minorHAnsi" w:cstheme="minorHAnsi"/>
          <w:lang w:eastAsia="en-US"/>
        </w:rPr>
        <w:t>,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  <w:r w:rsidR="0039173F" w:rsidRPr="00672692">
        <w:rPr>
          <w:rFonts w:asciiTheme="minorHAnsi" w:eastAsiaTheme="minorHAnsi" w:hAnsiTheme="minorHAnsi" w:cstheme="minorHAnsi"/>
          <w:lang w:eastAsia="en-US"/>
        </w:rPr>
        <w:t>con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 xml:space="preserve"> maggiore chiarezza </w:t>
      </w:r>
      <w:r w:rsidR="0039173F" w:rsidRPr="00672692">
        <w:rPr>
          <w:rFonts w:asciiTheme="minorHAnsi" w:eastAsiaTheme="minorHAnsi" w:hAnsiTheme="minorHAnsi" w:cstheme="minorHAnsi"/>
          <w:lang w:eastAsia="en-US"/>
        </w:rPr>
        <w:t xml:space="preserve">le informazioni 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>relativ</w:t>
      </w:r>
      <w:r w:rsidR="0039173F" w:rsidRPr="00672692">
        <w:rPr>
          <w:rFonts w:asciiTheme="minorHAnsi" w:eastAsiaTheme="minorHAnsi" w:hAnsiTheme="minorHAnsi" w:cstheme="minorHAnsi"/>
          <w:lang w:eastAsia="en-US"/>
        </w:rPr>
        <w:t>e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 xml:space="preserve"> alla</w:t>
      </w:r>
      <w:r w:rsidR="00670EC4" w:rsidRPr="00672692">
        <w:rPr>
          <w:rFonts w:asciiTheme="minorHAnsi" w:eastAsiaTheme="minorHAnsi" w:hAnsiTheme="minorHAnsi" w:cstheme="minorHAnsi"/>
          <w:lang w:eastAsia="en-US"/>
        </w:rPr>
        <w:t xml:space="preserve"> localizzazione dei siti, 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>a</w:t>
      </w:r>
      <w:r w:rsidR="00670EC4" w:rsidRPr="00672692">
        <w:rPr>
          <w:rFonts w:asciiTheme="minorHAnsi" w:eastAsiaTheme="minorHAnsi" w:hAnsiTheme="minorHAnsi" w:cstheme="minorHAnsi"/>
          <w:lang w:eastAsia="en-US"/>
        </w:rPr>
        <w:t>l coordinamento operativo tra gli enti (S</w:t>
      </w:r>
      <w:r w:rsidR="0039173F" w:rsidRPr="00672692">
        <w:rPr>
          <w:rFonts w:asciiTheme="minorHAnsi" w:eastAsiaTheme="minorHAnsi" w:hAnsiTheme="minorHAnsi" w:cstheme="minorHAnsi"/>
          <w:lang w:eastAsia="en-US"/>
        </w:rPr>
        <w:t>istemi sanitari regionali-SSR</w:t>
      </w:r>
      <w:r w:rsidR="00670EC4" w:rsidRPr="00672692">
        <w:rPr>
          <w:rFonts w:asciiTheme="minorHAnsi" w:eastAsiaTheme="minorHAnsi" w:hAnsiTheme="minorHAnsi" w:cstheme="minorHAnsi"/>
          <w:lang w:eastAsia="en-US"/>
        </w:rPr>
        <w:t xml:space="preserve"> e sedi provinciali dell’INPS per la rapida individuazione e chiamata delle persone con disabilità grave), 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>al</w:t>
      </w:r>
      <w:r w:rsidR="00670EC4" w:rsidRPr="00672692">
        <w:rPr>
          <w:rFonts w:asciiTheme="minorHAnsi" w:eastAsiaTheme="minorHAnsi" w:hAnsiTheme="minorHAnsi" w:cstheme="minorHAnsi"/>
          <w:lang w:eastAsia="en-US"/>
        </w:rPr>
        <w:t xml:space="preserve">le procedure, 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>a</w:t>
      </w:r>
      <w:r w:rsidR="00670EC4" w:rsidRPr="00672692">
        <w:rPr>
          <w:rFonts w:asciiTheme="minorHAnsi" w:eastAsiaTheme="minorHAnsi" w:hAnsiTheme="minorHAnsi" w:cstheme="minorHAnsi"/>
          <w:lang w:eastAsia="en-US"/>
        </w:rPr>
        <w:t>gli standard operativi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 xml:space="preserve"> ma anche</w:t>
      </w:r>
      <w:r w:rsidR="00670EC4"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>a</w:t>
      </w:r>
      <w:r w:rsidR="00670EC4" w:rsidRPr="00672692">
        <w:rPr>
          <w:rFonts w:asciiTheme="minorHAnsi" w:eastAsiaTheme="minorHAnsi" w:hAnsiTheme="minorHAnsi" w:cstheme="minorHAnsi"/>
          <w:lang w:eastAsia="en-US"/>
        </w:rPr>
        <w:t>l lay-out degli spazi per l’accettazione, la somministrazione e la sorveglianza degli eventuali effetti a termine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 xml:space="preserve">. </w:t>
      </w:r>
      <w:r w:rsidR="0039173F" w:rsidRPr="00672692">
        <w:rPr>
          <w:rFonts w:asciiTheme="minorHAnsi" w:eastAsiaTheme="minorHAnsi" w:hAnsiTheme="minorHAnsi" w:cstheme="minorHAnsi"/>
          <w:lang w:eastAsia="en-US"/>
        </w:rPr>
        <w:t xml:space="preserve">È necessario considerare adeguatamente gli specifici bisogni </w:t>
      </w:r>
      <w:r w:rsidR="003D39E9" w:rsidRPr="00672692">
        <w:rPr>
          <w:rFonts w:asciiTheme="minorHAnsi" w:eastAsiaTheme="minorHAnsi" w:hAnsiTheme="minorHAnsi" w:cstheme="minorHAnsi"/>
          <w:lang w:eastAsia="en-US"/>
        </w:rPr>
        <w:t xml:space="preserve">delle </w:t>
      </w:r>
      <w:proofErr w:type="spellStart"/>
      <w:r w:rsidR="003D39E9" w:rsidRPr="00672692">
        <w:rPr>
          <w:rFonts w:asciiTheme="minorHAnsi" w:eastAsiaTheme="minorHAnsi" w:hAnsiTheme="minorHAnsi" w:cstheme="minorHAnsi"/>
          <w:lang w:eastAsia="en-US"/>
        </w:rPr>
        <w:t>PcD</w:t>
      </w:r>
      <w:proofErr w:type="spellEnd"/>
      <w:r w:rsidR="0039173F" w:rsidRPr="00672692">
        <w:rPr>
          <w:rFonts w:asciiTheme="minorHAnsi" w:eastAsiaTheme="minorHAnsi" w:hAnsiTheme="minorHAnsi" w:cstheme="minorHAnsi"/>
          <w:lang w:eastAsia="en-US"/>
        </w:rPr>
        <w:t xml:space="preserve"> e individuare le modalità organizzative più idonee per garantire il loro pieno diritto alla salute, anche nel contesto della strategia di vaccinazione </w:t>
      </w:r>
      <w:r w:rsidR="00316183" w:rsidRPr="00672692">
        <w:rPr>
          <w:rFonts w:asciiTheme="minorHAnsi" w:eastAsiaTheme="minorHAnsi" w:hAnsiTheme="minorHAnsi" w:cstheme="minorHAnsi"/>
          <w:lang w:eastAsia="en-US"/>
        </w:rPr>
        <w:t>anti-Covid-19.</w:t>
      </w:r>
    </w:p>
    <w:p w14:paraId="41D1F358" w14:textId="055D50A8" w:rsidR="00237997" w:rsidRPr="00672692" w:rsidRDefault="003D39E9" w:rsidP="004842AD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>È importan</w:t>
      </w:r>
      <w:r w:rsidR="00FE1D81" w:rsidRPr="00672692">
        <w:rPr>
          <w:rFonts w:asciiTheme="minorHAnsi" w:eastAsiaTheme="minorHAnsi" w:hAnsiTheme="minorHAnsi" w:cstheme="minorHAnsi"/>
          <w:lang w:eastAsia="en-US"/>
        </w:rPr>
        <w:t>t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e anche creare i presupposti e programmare, già da ora, che in autunno / inverno, verosimilmente, vi sarà la necessità di dare l’avvio alla “fase del richiamo” </w:t>
      </w:r>
      <w:r w:rsidR="00237997" w:rsidRPr="00672692">
        <w:rPr>
          <w:rFonts w:asciiTheme="minorHAnsi" w:eastAsiaTheme="minorHAnsi" w:hAnsiTheme="minorHAnsi" w:cstheme="minorHAnsi"/>
          <w:lang w:eastAsia="en-US"/>
        </w:rPr>
        <w:t xml:space="preserve">stante l’efficacia </w:t>
      </w:r>
      <w:r w:rsidRPr="00672692">
        <w:rPr>
          <w:rFonts w:asciiTheme="minorHAnsi" w:eastAsiaTheme="minorHAnsi" w:hAnsiTheme="minorHAnsi" w:cstheme="minorHAnsi"/>
          <w:lang w:eastAsia="en-US"/>
        </w:rPr>
        <w:t>non superiore ai</w:t>
      </w:r>
      <w:r w:rsidR="00237997" w:rsidRPr="00672692">
        <w:rPr>
          <w:rFonts w:asciiTheme="minorHAnsi" w:eastAsiaTheme="minorHAnsi" w:hAnsiTheme="minorHAnsi" w:cstheme="minorHAnsi"/>
          <w:lang w:eastAsia="en-US"/>
        </w:rPr>
        <w:t xml:space="preserve"> 9/12 mesi dichiarata da tutti i 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produttori dei </w:t>
      </w:r>
      <w:r w:rsidR="00237997" w:rsidRPr="00672692">
        <w:rPr>
          <w:rFonts w:asciiTheme="minorHAnsi" w:eastAsiaTheme="minorHAnsi" w:hAnsiTheme="minorHAnsi" w:cstheme="minorHAnsi"/>
          <w:lang w:eastAsia="en-US"/>
        </w:rPr>
        <w:t>vaccini attualmente disponibili.</w:t>
      </w:r>
    </w:p>
    <w:p w14:paraId="0F13E193" w14:textId="08C188AA" w:rsidR="007F7798" w:rsidRPr="00672692" w:rsidRDefault="007F7798" w:rsidP="004842AD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7E1ED55F" w14:textId="231F48F3" w:rsidR="007F7798" w:rsidRPr="00672692" w:rsidRDefault="007F7798" w:rsidP="004842AD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>Ad oggi risulta che</w:t>
      </w:r>
      <w:r w:rsidR="00FE561B" w:rsidRPr="00672692">
        <w:rPr>
          <w:rFonts w:asciiTheme="minorHAnsi" w:eastAsiaTheme="minorHAnsi" w:hAnsiTheme="minorHAnsi" w:cstheme="minorHAnsi"/>
          <w:lang w:eastAsia="en-US"/>
        </w:rPr>
        <w:t>: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5EB8710A" w14:textId="6AB1B11D" w:rsidR="007F7798" w:rsidRPr="00672692" w:rsidRDefault="004A0CA1" w:rsidP="004842AD">
      <w:pPr>
        <w:pStyle w:val="Paragrafoelenco"/>
        <w:numPr>
          <w:ilvl w:val="0"/>
          <w:numId w:val="3"/>
        </w:numPr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>N</w:t>
      </w:r>
      <w:r w:rsidR="007F7798" w:rsidRPr="00672692">
        <w:rPr>
          <w:rFonts w:cstheme="minorHAnsi"/>
          <w:sz w:val="24"/>
          <w:szCs w:val="24"/>
        </w:rPr>
        <w:t>o</w:t>
      </w:r>
      <w:r w:rsidR="006143B0" w:rsidRPr="00672692">
        <w:rPr>
          <w:rFonts w:cstheme="minorHAnsi"/>
          <w:sz w:val="24"/>
          <w:szCs w:val="24"/>
        </w:rPr>
        <w:t>nostante</w:t>
      </w:r>
      <w:r w:rsidRPr="00672692">
        <w:rPr>
          <w:rFonts w:cstheme="minorHAnsi"/>
          <w:sz w:val="24"/>
          <w:szCs w:val="24"/>
        </w:rPr>
        <w:t xml:space="preserve"> l’accelerazione della campagna vaccinale, non</w:t>
      </w:r>
      <w:r w:rsidR="006143B0" w:rsidRPr="00672692">
        <w:rPr>
          <w:rFonts w:cstheme="minorHAnsi"/>
          <w:sz w:val="24"/>
          <w:szCs w:val="24"/>
        </w:rPr>
        <w:t xml:space="preserve"> </w:t>
      </w:r>
      <w:r w:rsidR="00094BF7" w:rsidRPr="00672692">
        <w:rPr>
          <w:rFonts w:cstheme="minorHAnsi"/>
          <w:sz w:val="24"/>
          <w:szCs w:val="24"/>
        </w:rPr>
        <w:t>sono state completat</w:t>
      </w:r>
      <w:r w:rsidR="007F7798" w:rsidRPr="00672692">
        <w:rPr>
          <w:rFonts w:cstheme="minorHAnsi"/>
          <w:sz w:val="24"/>
          <w:szCs w:val="24"/>
        </w:rPr>
        <w:t>e le vaccinazioni alle persone con disabilità nei centri residenziali e semi-residenziali;</w:t>
      </w:r>
    </w:p>
    <w:p w14:paraId="6EDF270B" w14:textId="3791758E" w:rsidR="007F7798" w:rsidRPr="00672692" w:rsidRDefault="007F7798" w:rsidP="004842AD">
      <w:pPr>
        <w:pStyle w:val="Paragrafoelenco"/>
        <w:numPr>
          <w:ilvl w:val="0"/>
          <w:numId w:val="3"/>
        </w:numPr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 xml:space="preserve">la priorità di accesso alla seconda fase della campagna vaccinale delle persone con disabilità, dei familiari, conviventi e </w:t>
      </w:r>
      <w:proofErr w:type="spellStart"/>
      <w:r w:rsidRPr="00672692">
        <w:rPr>
          <w:rFonts w:cstheme="minorHAnsi"/>
          <w:i/>
          <w:sz w:val="24"/>
          <w:szCs w:val="24"/>
        </w:rPr>
        <w:t>caregiver</w:t>
      </w:r>
      <w:proofErr w:type="spellEnd"/>
      <w:r w:rsidRPr="00672692">
        <w:rPr>
          <w:rFonts w:cstheme="minorHAnsi"/>
          <w:sz w:val="24"/>
          <w:szCs w:val="24"/>
        </w:rPr>
        <w:t xml:space="preserve"> non è ancora </w:t>
      </w:r>
      <w:r w:rsidR="004A0CA1" w:rsidRPr="00672692">
        <w:rPr>
          <w:rFonts w:cstheme="minorHAnsi"/>
          <w:sz w:val="24"/>
          <w:szCs w:val="24"/>
        </w:rPr>
        <w:t xml:space="preserve">omogeneamente applicata </w:t>
      </w:r>
      <w:r w:rsidRPr="00672692">
        <w:rPr>
          <w:rFonts w:cstheme="minorHAnsi"/>
          <w:sz w:val="24"/>
          <w:szCs w:val="24"/>
        </w:rPr>
        <w:t>d</w:t>
      </w:r>
      <w:r w:rsidR="004A0CA1" w:rsidRPr="00672692">
        <w:rPr>
          <w:rFonts w:cstheme="minorHAnsi"/>
          <w:sz w:val="24"/>
          <w:szCs w:val="24"/>
        </w:rPr>
        <w:t>a</w:t>
      </w:r>
      <w:r w:rsidRPr="00672692">
        <w:rPr>
          <w:rFonts w:cstheme="minorHAnsi"/>
          <w:sz w:val="24"/>
          <w:szCs w:val="24"/>
        </w:rPr>
        <w:t>lle regioni e la disparità di accesso non è solo interregionale ma è anche intraregionale e, in alcuni casi, addirittura tra distretti sanitari;</w:t>
      </w:r>
    </w:p>
    <w:p w14:paraId="0D145400" w14:textId="1955DFCA" w:rsidR="007F7798" w:rsidRPr="00672692" w:rsidRDefault="00FE561B" w:rsidP="004842AD">
      <w:pPr>
        <w:pStyle w:val="Paragrafoelenco"/>
        <w:numPr>
          <w:ilvl w:val="0"/>
          <w:numId w:val="3"/>
        </w:numPr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 xml:space="preserve">le informazioni per l’individuazione </w:t>
      </w:r>
      <w:r w:rsidR="007F7798" w:rsidRPr="00672692">
        <w:rPr>
          <w:rFonts w:cstheme="minorHAnsi"/>
          <w:sz w:val="24"/>
          <w:szCs w:val="24"/>
        </w:rPr>
        <w:t>delle persone con disabilità grave</w:t>
      </w:r>
      <w:r w:rsidR="00F07BF1" w:rsidRPr="00672692">
        <w:rPr>
          <w:rFonts w:cstheme="minorHAnsi"/>
          <w:sz w:val="24"/>
          <w:szCs w:val="24"/>
        </w:rPr>
        <w:t>,</w:t>
      </w:r>
      <w:r w:rsidR="007F7798" w:rsidRPr="00672692">
        <w:rPr>
          <w:rFonts w:cstheme="minorHAnsi"/>
          <w:sz w:val="24"/>
          <w:szCs w:val="24"/>
        </w:rPr>
        <w:t xml:space="preserve"> non sono nella disponibilità</w:t>
      </w:r>
      <w:r w:rsidRPr="00672692">
        <w:rPr>
          <w:rFonts w:cstheme="minorHAnsi"/>
          <w:sz w:val="24"/>
          <w:szCs w:val="24"/>
        </w:rPr>
        <w:t xml:space="preserve"> della maggior parte </w:t>
      </w:r>
      <w:r w:rsidR="007F7798" w:rsidRPr="00672692">
        <w:rPr>
          <w:rFonts w:cstheme="minorHAnsi"/>
          <w:sz w:val="24"/>
          <w:szCs w:val="24"/>
        </w:rPr>
        <w:t xml:space="preserve">delle aziende sanitarie. </w:t>
      </w:r>
    </w:p>
    <w:p w14:paraId="01E9B75A" w14:textId="12959C42" w:rsidR="007F7798" w:rsidRPr="00672692" w:rsidRDefault="007F7798" w:rsidP="004842AD">
      <w:pPr>
        <w:pStyle w:val="Paragrafoelenco"/>
        <w:numPr>
          <w:ilvl w:val="0"/>
          <w:numId w:val="3"/>
        </w:numPr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 xml:space="preserve">Il numero di </w:t>
      </w:r>
      <w:hyperlink r:id="rId10" w:history="1">
        <w:r w:rsidRPr="00672692">
          <w:rPr>
            <w:rFonts w:cstheme="minorHAnsi"/>
            <w:sz w:val="24"/>
            <w:szCs w:val="24"/>
          </w:rPr>
          <w:t xml:space="preserve">Unità Speciali di Continuità Assistenziale </w:t>
        </w:r>
      </w:hyperlink>
      <w:r w:rsidRPr="00672692">
        <w:rPr>
          <w:rFonts w:cstheme="minorHAnsi"/>
          <w:sz w:val="24"/>
          <w:szCs w:val="24"/>
        </w:rPr>
        <w:t>(USCA) e di punti vaccinali di prossimità sono insufficienti.</w:t>
      </w:r>
    </w:p>
    <w:p w14:paraId="191A30E6" w14:textId="3664C3A4" w:rsidR="002057BF" w:rsidRPr="00672692" w:rsidRDefault="002057BF" w:rsidP="002057BF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 xml:space="preserve">Inoltre, l’emergenza sanitaria che in alcune Regioni persiste quasi ininterrottamente da marzo del 2020, continua ad escludere molte </w:t>
      </w:r>
      <w:proofErr w:type="spellStart"/>
      <w:r w:rsidRPr="00672692">
        <w:rPr>
          <w:rFonts w:asciiTheme="minorHAnsi" w:eastAsiaTheme="minorHAnsi" w:hAnsiTheme="minorHAnsi" w:cstheme="minorHAnsi"/>
          <w:lang w:eastAsia="en-US"/>
        </w:rPr>
        <w:t>PcD</w:t>
      </w:r>
      <w:proofErr w:type="spellEnd"/>
      <w:r w:rsidRPr="00672692">
        <w:rPr>
          <w:rFonts w:asciiTheme="minorHAnsi" w:eastAsiaTheme="minorHAnsi" w:hAnsiTheme="minorHAnsi" w:cstheme="minorHAnsi"/>
          <w:lang w:eastAsia="en-US"/>
        </w:rPr>
        <w:t xml:space="preserve"> e/o con malattie rare da controlli, visite specialistiche e prestazioni assistenziali e riabilitative.</w:t>
      </w:r>
    </w:p>
    <w:p w14:paraId="1CA342C4" w14:textId="7E5835F0" w:rsidR="002057BF" w:rsidRPr="00672692" w:rsidRDefault="002057BF" w:rsidP="002057BF">
      <w:pPr>
        <w:jc w:val="both"/>
        <w:rPr>
          <w:rFonts w:cstheme="minorHAnsi"/>
          <w:sz w:val="24"/>
          <w:szCs w:val="24"/>
        </w:rPr>
      </w:pPr>
    </w:p>
    <w:p w14:paraId="382A768C" w14:textId="72FAB1BE" w:rsidR="00976A3A" w:rsidRPr="00672692" w:rsidRDefault="009240F6" w:rsidP="00375091">
      <w:pPr>
        <w:pStyle w:val="NormaleWeb"/>
        <w:spacing w:before="0" w:beforeAutospacing="0" w:after="120" w:afterAutospacing="0" w:line="276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72692">
        <w:rPr>
          <w:rFonts w:asciiTheme="minorHAnsi" w:eastAsiaTheme="minorHAnsi" w:hAnsiTheme="minorHAnsi" w:cstheme="minorHAnsi"/>
          <w:b/>
          <w:lang w:eastAsia="en-US"/>
        </w:rPr>
        <w:lastRenderedPageBreak/>
        <w:t>I principi della Convenzione ONU sui diritti delle Persone con disabilità (CRPD)</w:t>
      </w:r>
    </w:p>
    <w:p w14:paraId="07DDC8B8" w14:textId="12F204E9" w:rsidR="00E2374E" w:rsidRPr="00672692" w:rsidRDefault="00991602" w:rsidP="00375091">
      <w:pPr>
        <w:pStyle w:val="NormalHanging12a"/>
        <w:spacing w:after="0" w:line="276" w:lineRule="auto"/>
        <w:ind w:left="0" w:firstLine="0"/>
        <w:jc w:val="both"/>
        <w:rPr>
          <w:rFonts w:asciiTheme="minorHAnsi" w:eastAsia="Palatino Linotype" w:hAnsiTheme="minorHAnsi" w:cstheme="minorHAnsi"/>
          <w:szCs w:val="24"/>
          <w:lang w:eastAsia="en-US"/>
        </w:rPr>
      </w:pPr>
      <w:r w:rsidRPr="00672692">
        <w:rPr>
          <w:rFonts w:asciiTheme="minorHAnsi" w:eastAsia="Palatino Linotype" w:hAnsiTheme="minorHAnsi" w:cstheme="minorHAnsi"/>
          <w:szCs w:val="24"/>
          <w:lang w:eastAsia="en-US"/>
        </w:rPr>
        <w:t>La Convenzione ONU sui diritti delle Persone con disabilità (CRPD), ratificata</w:t>
      </w:r>
      <w:r w:rsidR="00E2374E"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 dall’Italia</w:t>
      </w:r>
      <w:r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 con legge </w:t>
      </w:r>
      <w:r w:rsidR="00E2374E" w:rsidRPr="00672692">
        <w:rPr>
          <w:rFonts w:asciiTheme="minorHAnsi" w:eastAsia="Palatino Linotype" w:hAnsiTheme="minorHAnsi" w:cstheme="minorHAnsi"/>
          <w:szCs w:val="24"/>
          <w:lang w:eastAsia="en-US"/>
        </w:rPr>
        <w:t>3 marzo 2009, n.18</w:t>
      </w:r>
      <w:r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, impegna gli Stati Parti a consultare e coinvolgere attivamente le </w:t>
      </w:r>
      <w:proofErr w:type="spellStart"/>
      <w:r w:rsidRPr="00672692">
        <w:rPr>
          <w:rFonts w:asciiTheme="minorHAnsi" w:eastAsia="Palatino Linotype" w:hAnsiTheme="minorHAnsi" w:cstheme="minorHAnsi"/>
          <w:szCs w:val="24"/>
          <w:lang w:eastAsia="en-US"/>
        </w:rPr>
        <w:t>PcD</w:t>
      </w:r>
      <w:proofErr w:type="spellEnd"/>
      <w:r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 attraverso le loro organizzazioni in tutti i processi decisionali che li riguardano (art</w:t>
      </w:r>
      <w:r w:rsidR="00E2374E" w:rsidRPr="00672692">
        <w:rPr>
          <w:rFonts w:asciiTheme="minorHAnsi" w:eastAsia="Palatino Linotype" w:hAnsiTheme="minorHAnsi" w:cstheme="minorHAnsi"/>
          <w:szCs w:val="24"/>
          <w:lang w:eastAsia="en-US"/>
        </w:rPr>
        <w:t>icolo</w:t>
      </w:r>
      <w:r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 4 comma 3</w:t>
      </w:r>
      <w:r w:rsidR="00E2374E" w:rsidRPr="00672692">
        <w:rPr>
          <w:rStyle w:val="Rimandonotaapidipagina"/>
          <w:rFonts w:asciiTheme="minorHAnsi" w:eastAsia="Palatino Linotype" w:hAnsiTheme="minorHAnsi" w:cstheme="minorHAnsi"/>
          <w:szCs w:val="24"/>
          <w:lang w:eastAsia="en-US"/>
        </w:rPr>
        <w:footnoteReference w:id="2"/>
      </w:r>
      <w:r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). </w:t>
      </w:r>
    </w:p>
    <w:p w14:paraId="1427FA21" w14:textId="5201AF93" w:rsidR="00E2374E" w:rsidRPr="00672692" w:rsidRDefault="00991602" w:rsidP="00375091">
      <w:pPr>
        <w:pStyle w:val="NormalHanging12a"/>
        <w:spacing w:line="276" w:lineRule="auto"/>
        <w:ind w:left="0" w:firstLine="0"/>
        <w:jc w:val="both"/>
        <w:rPr>
          <w:rFonts w:asciiTheme="minorHAnsi" w:eastAsia="Palatino Linotype" w:hAnsiTheme="minorHAnsi" w:cstheme="minorHAnsi"/>
          <w:szCs w:val="24"/>
          <w:lang w:eastAsia="en-US"/>
        </w:rPr>
      </w:pPr>
      <w:r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La stessa CRPD chiarisce che la tutela dei diritti delle </w:t>
      </w:r>
      <w:proofErr w:type="spellStart"/>
      <w:r w:rsidRPr="00672692">
        <w:rPr>
          <w:rFonts w:asciiTheme="minorHAnsi" w:eastAsia="Palatino Linotype" w:hAnsiTheme="minorHAnsi" w:cstheme="minorHAnsi"/>
          <w:szCs w:val="24"/>
          <w:lang w:eastAsia="en-US"/>
        </w:rPr>
        <w:t>PcD</w:t>
      </w:r>
      <w:proofErr w:type="spellEnd"/>
      <w:r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 riguarda tutte le politiche </w:t>
      </w:r>
      <w:r w:rsidR="00D60B49" w:rsidRPr="00672692">
        <w:rPr>
          <w:rFonts w:asciiTheme="minorHAnsi" w:eastAsia="Palatino Linotype" w:hAnsiTheme="minorHAnsi" w:cstheme="minorHAnsi"/>
          <w:szCs w:val="24"/>
          <w:lang w:eastAsia="en-US"/>
        </w:rPr>
        <w:t>(</w:t>
      </w:r>
      <w:proofErr w:type="spellStart"/>
      <w:r w:rsidR="00D60B49" w:rsidRPr="00672692">
        <w:rPr>
          <w:rFonts w:asciiTheme="minorHAnsi" w:eastAsia="Palatino Linotype" w:hAnsiTheme="minorHAnsi" w:cstheme="minorHAnsi"/>
          <w:i/>
          <w:szCs w:val="24"/>
          <w:lang w:eastAsia="en-US"/>
        </w:rPr>
        <w:t>meanstreaming</w:t>
      </w:r>
      <w:proofErr w:type="spellEnd"/>
      <w:r w:rsidR="00D60B49" w:rsidRPr="00672692">
        <w:rPr>
          <w:rFonts w:asciiTheme="minorHAnsi" w:eastAsia="Palatino Linotype" w:hAnsiTheme="minorHAnsi" w:cstheme="minorHAnsi"/>
          <w:szCs w:val="24"/>
          <w:lang w:eastAsia="en-US"/>
        </w:rPr>
        <w:t>)</w:t>
      </w:r>
      <w:r w:rsidR="00E2374E"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 e si estende a tutte le unità costitutive degli Stati, pertanto ai diversi livell</w:t>
      </w:r>
      <w:r w:rsidR="00F07BF1"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i </w:t>
      </w:r>
      <w:r w:rsidR="00E2374E" w:rsidRPr="00672692">
        <w:rPr>
          <w:rFonts w:asciiTheme="minorHAnsi" w:eastAsia="Palatino Linotype" w:hAnsiTheme="minorHAnsi" w:cstheme="minorHAnsi"/>
          <w:szCs w:val="24"/>
          <w:lang w:eastAsia="en-US"/>
        </w:rPr>
        <w:t>di governo, nazionale, regionale, local</w:t>
      </w:r>
      <w:r w:rsidR="00F07BF1" w:rsidRPr="00672692">
        <w:rPr>
          <w:rFonts w:asciiTheme="minorHAnsi" w:eastAsia="Palatino Linotype" w:hAnsiTheme="minorHAnsi" w:cstheme="minorHAnsi"/>
          <w:szCs w:val="24"/>
          <w:lang w:eastAsia="en-US"/>
        </w:rPr>
        <w:t>e (articolo 4, comma 5)</w:t>
      </w:r>
      <w:r w:rsidR="00E2374E" w:rsidRPr="00672692">
        <w:rPr>
          <w:rFonts w:asciiTheme="minorHAnsi" w:eastAsia="Palatino Linotype" w:hAnsiTheme="minorHAnsi" w:cstheme="minorHAnsi"/>
          <w:szCs w:val="24"/>
          <w:lang w:eastAsia="en-US"/>
        </w:rPr>
        <w:t>.</w:t>
      </w:r>
    </w:p>
    <w:p w14:paraId="5849BDB9" w14:textId="251A7175" w:rsidR="00D60B49" w:rsidRPr="00672692" w:rsidRDefault="00D60B49" w:rsidP="00375091">
      <w:pPr>
        <w:pStyle w:val="NormalHanging12a"/>
        <w:spacing w:line="276" w:lineRule="auto"/>
        <w:ind w:left="0" w:firstLine="0"/>
        <w:jc w:val="both"/>
        <w:rPr>
          <w:rFonts w:asciiTheme="minorHAnsi" w:eastAsia="Palatino Linotype" w:hAnsiTheme="minorHAnsi" w:cstheme="minorHAnsi"/>
          <w:szCs w:val="24"/>
          <w:lang w:eastAsia="en-US"/>
        </w:rPr>
      </w:pPr>
      <w:r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A tale proposito </w:t>
      </w:r>
      <w:r w:rsidR="00E2374E" w:rsidRPr="00672692">
        <w:rPr>
          <w:rFonts w:asciiTheme="minorHAnsi" w:eastAsia="Palatino Linotype" w:hAnsiTheme="minorHAnsi" w:cstheme="minorHAnsi"/>
          <w:szCs w:val="24"/>
          <w:lang w:eastAsia="en-US"/>
        </w:rPr>
        <w:t>i</w:t>
      </w:r>
      <w:r w:rsidR="00991602" w:rsidRPr="00672692">
        <w:rPr>
          <w:rFonts w:asciiTheme="minorHAnsi" w:eastAsia="Palatino Linotype" w:hAnsiTheme="minorHAnsi" w:cstheme="minorHAnsi"/>
          <w:szCs w:val="24"/>
        </w:rPr>
        <w:t>l</w:t>
      </w:r>
      <w:r w:rsidR="00F44BC2" w:rsidRPr="00672692">
        <w:rPr>
          <w:rFonts w:asciiTheme="minorHAnsi" w:eastAsia="Palatino Linotype" w:hAnsiTheme="minorHAnsi" w:cstheme="minorHAnsi"/>
          <w:szCs w:val="24"/>
        </w:rPr>
        <w:t xml:space="preserve"> Gruppo </w:t>
      </w:r>
      <w:r w:rsidR="006341FB" w:rsidRPr="00672692">
        <w:rPr>
          <w:rFonts w:asciiTheme="minorHAnsi" w:eastAsia="Palatino Linotype" w:hAnsiTheme="minorHAnsi" w:cstheme="minorHAnsi"/>
          <w:szCs w:val="24"/>
        </w:rPr>
        <w:t>5</w:t>
      </w:r>
      <w:r w:rsidR="00F44BC2" w:rsidRPr="00672692">
        <w:rPr>
          <w:rFonts w:asciiTheme="minorHAnsi" w:eastAsia="Palatino Linotype" w:hAnsiTheme="minorHAnsi" w:cstheme="minorHAnsi"/>
          <w:szCs w:val="24"/>
        </w:rPr>
        <w:t xml:space="preserve"> Salute dell’OND</w:t>
      </w:r>
      <w:r w:rsidR="00991602" w:rsidRPr="00672692">
        <w:rPr>
          <w:rFonts w:asciiTheme="minorHAnsi" w:eastAsia="Palatino Linotype" w:hAnsiTheme="minorHAnsi" w:cstheme="minorHAnsi"/>
          <w:szCs w:val="24"/>
        </w:rPr>
        <w:t xml:space="preserve"> </w:t>
      </w:r>
      <w:r w:rsidR="00F07BF1" w:rsidRPr="00672692">
        <w:rPr>
          <w:rFonts w:asciiTheme="minorHAnsi" w:eastAsia="Palatino Linotype" w:hAnsiTheme="minorHAnsi" w:cstheme="minorHAnsi"/>
          <w:szCs w:val="24"/>
        </w:rPr>
        <w:t xml:space="preserve">intende </w:t>
      </w:r>
      <w:r w:rsidR="001345C5" w:rsidRPr="00672692">
        <w:rPr>
          <w:rFonts w:asciiTheme="minorHAnsi" w:eastAsia="Palatino Linotype" w:hAnsiTheme="minorHAnsi" w:cstheme="minorHAnsi"/>
          <w:szCs w:val="24"/>
        </w:rPr>
        <w:t>mantenere alta</w:t>
      </w:r>
      <w:r w:rsidR="00F07BF1" w:rsidRPr="00672692">
        <w:rPr>
          <w:rFonts w:asciiTheme="minorHAnsi" w:eastAsia="Palatino Linotype" w:hAnsiTheme="minorHAnsi" w:cstheme="minorHAnsi"/>
          <w:szCs w:val="24"/>
        </w:rPr>
        <w:t xml:space="preserve"> </w:t>
      </w:r>
      <w:r w:rsidR="001345C5" w:rsidRPr="00672692">
        <w:rPr>
          <w:rFonts w:asciiTheme="minorHAnsi" w:eastAsia="Palatino Linotype" w:hAnsiTheme="minorHAnsi" w:cstheme="minorHAnsi"/>
          <w:szCs w:val="24"/>
        </w:rPr>
        <w:t>l’attenzione delle istituzioni rispetto all’applicazione, nel contesto dell’emergenza pandemica, dei</w:t>
      </w:r>
      <w:r w:rsidRPr="00672692">
        <w:rPr>
          <w:rFonts w:asciiTheme="minorHAnsi" w:eastAsia="Palatino Linotype" w:hAnsiTheme="minorHAnsi" w:cstheme="minorHAnsi"/>
          <w:szCs w:val="24"/>
        </w:rPr>
        <w:t xml:space="preserve"> pri</w:t>
      </w:r>
      <w:r w:rsidR="001345C5" w:rsidRPr="00672692">
        <w:rPr>
          <w:rFonts w:asciiTheme="minorHAnsi" w:eastAsia="Palatino Linotype" w:hAnsiTheme="minorHAnsi" w:cstheme="minorHAnsi"/>
          <w:szCs w:val="24"/>
        </w:rPr>
        <w:t>n</w:t>
      </w:r>
      <w:r w:rsidRPr="00672692">
        <w:rPr>
          <w:rFonts w:asciiTheme="minorHAnsi" w:eastAsia="Palatino Linotype" w:hAnsiTheme="minorHAnsi" w:cstheme="minorHAnsi"/>
          <w:szCs w:val="24"/>
        </w:rPr>
        <w:t>cìpi fondamentali della Convenzione</w:t>
      </w:r>
      <w:r w:rsidR="001345C5" w:rsidRPr="00672692">
        <w:rPr>
          <w:rFonts w:asciiTheme="minorHAnsi" w:eastAsia="Palatino Linotype" w:hAnsiTheme="minorHAnsi" w:cstheme="minorHAnsi"/>
          <w:szCs w:val="24"/>
        </w:rPr>
        <w:t>,</w:t>
      </w:r>
      <w:r w:rsidRPr="00672692">
        <w:rPr>
          <w:rFonts w:asciiTheme="minorHAnsi" w:eastAsia="Palatino Linotype" w:hAnsiTheme="minorHAnsi" w:cstheme="minorHAnsi"/>
          <w:szCs w:val="24"/>
        </w:rPr>
        <w:t xml:space="preserve"> quali </w:t>
      </w:r>
      <w:r w:rsidRPr="00672692">
        <w:rPr>
          <w:rFonts w:asciiTheme="minorHAnsi" w:eastAsia="Palatino Linotype" w:hAnsiTheme="minorHAnsi" w:cstheme="minorHAnsi"/>
          <w:szCs w:val="24"/>
          <w:lang w:eastAsia="en-US"/>
        </w:rPr>
        <w:t>quelli r</w:t>
      </w:r>
      <w:r w:rsidR="00AC2276" w:rsidRPr="00672692">
        <w:rPr>
          <w:rFonts w:asciiTheme="minorHAnsi" w:eastAsia="Palatino Linotype" w:hAnsiTheme="minorHAnsi" w:cstheme="minorHAnsi"/>
          <w:szCs w:val="24"/>
          <w:lang w:eastAsia="en-US"/>
        </w:rPr>
        <w:t>ichiamat</w:t>
      </w:r>
      <w:r w:rsidRPr="00672692">
        <w:rPr>
          <w:rFonts w:asciiTheme="minorHAnsi" w:eastAsia="Palatino Linotype" w:hAnsiTheme="minorHAnsi" w:cstheme="minorHAnsi"/>
          <w:szCs w:val="24"/>
          <w:lang w:eastAsia="en-US"/>
        </w:rPr>
        <w:t xml:space="preserve">i </w:t>
      </w:r>
      <w:r w:rsidR="00AC2276" w:rsidRPr="00672692">
        <w:rPr>
          <w:rFonts w:asciiTheme="minorHAnsi" w:eastAsia="Palatino Linotype" w:hAnsiTheme="minorHAnsi" w:cstheme="minorHAnsi"/>
          <w:szCs w:val="24"/>
          <w:lang w:eastAsia="en-US"/>
        </w:rPr>
        <w:t>d</w:t>
      </w:r>
      <w:r w:rsidRPr="00672692">
        <w:rPr>
          <w:rFonts w:asciiTheme="minorHAnsi" w:eastAsia="Palatino Linotype" w:hAnsiTheme="minorHAnsi" w:cstheme="minorHAnsi"/>
          <w:szCs w:val="24"/>
          <w:lang w:eastAsia="en-US"/>
        </w:rPr>
        <w:t>agli articoli 11 (</w:t>
      </w:r>
      <w:r w:rsidRPr="00672692">
        <w:rPr>
          <w:rFonts w:asciiTheme="minorHAnsi" w:eastAsia="Palatino Linotype" w:hAnsiTheme="minorHAnsi" w:cstheme="minorHAnsi"/>
          <w:i/>
          <w:szCs w:val="24"/>
          <w:lang w:eastAsia="en-US"/>
        </w:rPr>
        <w:t>Situazioni di rischi e di emergenze umanitarie</w:t>
      </w:r>
      <w:r w:rsidRPr="00672692">
        <w:rPr>
          <w:rFonts w:asciiTheme="minorHAnsi" w:eastAsia="Palatino Linotype" w:hAnsiTheme="minorHAnsi" w:cstheme="minorHAnsi"/>
          <w:szCs w:val="24"/>
          <w:lang w:eastAsia="en-US"/>
        </w:rPr>
        <w:t>), 24 (</w:t>
      </w:r>
      <w:r w:rsidR="00AC2276" w:rsidRPr="00672692">
        <w:rPr>
          <w:rFonts w:asciiTheme="minorHAnsi" w:eastAsia="Palatino Linotype" w:hAnsiTheme="minorHAnsi" w:cstheme="minorHAnsi"/>
          <w:i/>
          <w:szCs w:val="24"/>
          <w:lang w:eastAsia="en-US"/>
        </w:rPr>
        <w:t>Educazione</w:t>
      </w:r>
      <w:r w:rsidRPr="00672692">
        <w:rPr>
          <w:rFonts w:asciiTheme="minorHAnsi" w:eastAsia="Palatino Linotype" w:hAnsiTheme="minorHAnsi" w:cstheme="minorHAnsi"/>
          <w:szCs w:val="24"/>
          <w:lang w:eastAsia="en-US"/>
        </w:rPr>
        <w:t>), 25 (</w:t>
      </w:r>
      <w:r w:rsidR="00AC2276" w:rsidRPr="00672692">
        <w:rPr>
          <w:rFonts w:asciiTheme="minorHAnsi" w:eastAsia="Palatino Linotype" w:hAnsiTheme="minorHAnsi" w:cstheme="minorHAnsi"/>
          <w:i/>
          <w:szCs w:val="24"/>
          <w:lang w:eastAsia="en-US"/>
        </w:rPr>
        <w:t>Salute</w:t>
      </w:r>
      <w:r w:rsidRPr="00672692">
        <w:rPr>
          <w:rFonts w:asciiTheme="minorHAnsi" w:eastAsia="Palatino Linotype" w:hAnsiTheme="minorHAnsi" w:cstheme="minorHAnsi"/>
          <w:szCs w:val="24"/>
          <w:lang w:eastAsia="en-US"/>
        </w:rPr>
        <w:t>) e 28 (</w:t>
      </w:r>
      <w:r w:rsidR="00AC2276" w:rsidRPr="00672692">
        <w:rPr>
          <w:rFonts w:asciiTheme="minorHAnsi" w:eastAsia="Palatino Linotype" w:hAnsiTheme="minorHAnsi" w:cstheme="minorHAnsi"/>
          <w:i/>
          <w:szCs w:val="24"/>
          <w:lang w:eastAsia="en-US"/>
        </w:rPr>
        <w:t>Adeguati livelli di vita e protezione sociale</w:t>
      </w:r>
      <w:r w:rsidRPr="00672692">
        <w:rPr>
          <w:rFonts w:asciiTheme="minorHAnsi" w:eastAsia="Palatino Linotype" w:hAnsiTheme="minorHAnsi" w:cstheme="minorHAnsi"/>
          <w:szCs w:val="24"/>
          <w:lang w:eastAsia="en-US"/>
        </w:rPr>
        <w:t>).</w:t>
      </w:r>
      <w:r w:rsidR="00F07BF1" w:rsidRPr="00672692">
        <w:rPr>
          <w:rFonts w:asciiTheme="minorHAnsi" w:eastAsia="Palatino Linotype" w:hAnsiTheme="minorHAnsi" w:cstheme="minorHAnsi"/>
          <w:szCs w:val="24"/>
        </w:rPr>
        <w:t xml:space="preserve"> </w:t>
      </w:r>
    </w:p>
    <w:p w14:paraId="2B2333B2" w14:textId="7A4F1AA8" w:rsidR="002E481B" w:rsidRPr="00672692" w:rsidRDefault="002E481B" w:rsidP="00E33252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 xml:space="preserve">Le </w:t>
      </w:r>
      <w:r w:rsidR="00077DF1" w:rsidRPr="00672692">
        <w:rPr>
          <w:rFonts w:asciiTheme="minorHAnsi" w:eastAsiaTheme="minorHAnsi" w:hAnsiTheme="minorHAnsi" w:cstheme="minorHAnsi"/>
          <w:lang w:eastAsia="en-US"/>
        </w:rPr>
        <w:t xml:space="preserve">Organizzazioni 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delle </w:t>
      </w:r>
      <w:proofErr w:type="spellStart"/>
      <w:r w:rsidR="007F7798" w:rsidRPr="00672692">
        <w:rPr>
          <w:rFonts w:asciiTheme="minorHAnsi" w:eastAsiaTheme="minorHAnsi" w:hAnsiTheme="minorHAnsi" w:cstheme="minorHAnsi"/>
          <w:lang w:eastAsia="en-US"/>
        </w:rPr>
        <w:t>PcD</w:t>
      </w:r>
      <w:proofErr w:type="spellEnd"/>
      <w:r w:rsidRPr="00672692">
        <w:rPr>
          <w:rFonts w:asciiTheme="minorHAnsi" w:eastAsiaTheme="minorHAnsi" w:hAnsiTheme="minorHAnsi" w:cstheme="minorHAnsi"/>
          <w:lang w:eastAsia="en-US"/>
        </w:rPr>
        <w:t xml:space="preserve"> hanno il diritto</w:t>
      </w:r>
      <w:r w:rsidR="007F7798"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2692">
        <w:rPr>
          <w:rFonts w:asciiTheme="minorHAnsi" w:eastAsiaTheme="minorHAnsi" w:hAnsiTheme="minorHAnsi" w:cstheme="minorHAnsi"/>
          <w:lang w:eastAsia="en-US"/>
        </w:rPr>
        <w:t>di essere coinvolt</w:t>
      </w:r>
      <w:r w:rsidR="00375091" w:rsidRPr="00672692">
        <w:rPr>
          <w:rFonts w:asciiTheme="minorHAnsi" w:eastAsiaTheme="minorHAnsi" w:hAnsiTheme="minorHAnsi" w:cstheme="minorHAnsi"/>
          <w:lang w:eastAsia="en-US"/>
        </w:rPr>
        <w:t>e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 attivamente</w:t>
      </w:r>
      <w:r w:rsidR="007F7798" w:rsidRPr="00672692">
        <w:rPr>
          <w:rFonts w:asciiTheme="minorHAnsi" w:eastAsiaTheme="minorHAnsi" w:hAnsiTheme="minorHAnsi" w:cstheme="minorHAnsi"/>
          <w:lang w:eastAsia="en-US"/>
        </w:rPr>
        <w:t xml:space="preserve"> alla programmazione della campagna vaccinale anche </w:t>
      </w:r>
      <w:r w:rsidR="00375091" w:rsidRPr="00672692">
        <w:rPr>
          <w:rFonts w:asciiTheme="minorHAnsi" w:eastAsiaTheme="minorHAnsi" w:hAnsiTheme="minorHAnsi" w:cstheme="minorHAnsi"/>
          <w:lang w:eastAsia="en-US"/>
        </w:rPr>
        <w:t>poiché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 sono in possesso di conoscenze</w:t>
      </w:r>
      <w:r w:rsidR="008D045A" w:rsidRPr="00672692">
        <w:rPr>
          <w:rFonts w:asciiTheme="minorHAnsi" w:eastAsiaTheme="minorHAnsi" w:hAnsiTheme="minorHAnsi" w:cstheme="minorHAnsi"/>
          <w:lang w:eastAsia="en-US"/>
        </w:rPr>
        <w:t xml:space="preserve"> e di competenze utili</w:t>
      </w:r>
      <w:r w:rsidR="00F44BC2"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  <w:r w:rsidR="001345C5" w:rsidRPr="00672692">
        <w:rPr>
          <w:rFonts w:asciiTheme="minorHAnsi" w:eastAsiaTheme="minorHAnsi" w:hAnsiTheme="minorHAnsi" w:cstheme="minorHAnsi"/>
          <w:lang w:eastAsia="en-US"/>
        </w:rPr>
        <w:t xml:space="preserve">che possono </w:t>
      </w:r>
      <w:r w:rsidR="00F44BC2" w:rsidRPr="00672692">
        <w:rPr>
          <w:rFonts w:asciiTheme="minorHAnsi" w:eastAsiaTheme="minorHAnsi" w:hAnsiTheme="minorHAnsi" w:cstheme="minorHAnsi"/>
          <w:lang w:eastAsia="en-US"/>
        </w:rPr>
        <w:t>integrare quell</w:t>
      </w:r>
      <w:r w:rsidR="001345C5" w:rsidRPr="00672692">
        <w:rPr>
          <w:rFonts w:asciiTheme="minorHAnsi" w:eastAsiaTheme="minorHAnsi" w:hAnsiTheme="minorHAnsi" w:cstheme="minorHAnsi"/>
          <w:lang w:eastAsia="en-US"/>
        </w:rPr>
        <w:t>e</w:t>
      </w:r>
      <w:r w:rsidR="00F44BC2" w:rsidRPr="00672692">
        <w:rPr>
          <w:rFonts w:asciiTheme="minorHAnsi" w:eastAsiaTheme="minorHAnsi" w:hAnsiTheme="minorHAnsi" w:cstheme="minorHAnsi"/>
          <w:lang w:eastAsia="en-US"/>
        </w:rPr>
        <w:t xml:space="preserve"> dei funzionari preposti</w:t>
      </w:r>
      <w:r w:rsidR="00077DF1" w:rsidRPr="00672692">
        <w:rPr>
          <w:rFonts w:asciiTheme="minorHAnsi" w:eastAsiaTheme="minorHAnsi" w:hAnsiTheme="minorHAnsi" w:cstheme="minorHAnsi"/>
          <w:lang w:eastAsia="en-US"/>
        </w:rPr>
        <w:t xml:space="preserve"> dalle Istituzioni</w:t>
      </w:r>
      <w:r w:rsidR="00F44BC2" w:rsidRPr="00672692">
        <w:rPr>
          <w:rFonts w:asciiTheme="minorHAnsi" w:eastAsiaTheme="minorHAnsi" w:hAnsiTheme="minorHAnsi" w:cstheme="minorHAnsi"/>
          <w:lang w:eastAsia="en-US"/>
        </w:rPr>
        <w:t>,</w:t>
      </w:r>
      <w:r w:rsidR="008D045A"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  <w:r w:rsidR="00375091" w:rsidRPr="00672692">
        <w:rPr>
          <w:rFonts w:asciiTheme="minorHAnsi" w:eastAsiaTheme="minorHAnsi" w:hAnsiTheme="minorHAnsi" w:cstheme="minorHAnsi"/>
          <w:lang w:eastAsia="en-US"/>
        </w:rPr>
        <w:t>per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 affrontare l’emergenza in modo organico e nel rispetto </w:t>
      </w:r>
      <w:r w:rsidR="0004489A" w:rsidRPr="00672692">
        <w:rPr>
          <w:rFonts w:asciiTheme="minorHAnsi" w:eastAsiaTheme="minorHAnsi" w:hAnsiTheme="minorHAnsi" w:cstheme="minorHAnsi"/>
          <w:lang w:eastAsia="en-US"/>
        </w:rPr>
        <w:t>dei bisogni specifici e dei principi di uguaglianza ed equità.</w:t>
      </w:r>
    </w:p>
    <w:p w14:paraId="1A5F4C1C" w14:textId="47BE9FAF" w:rsidR="001345C5" w:rsidRPr="00672692" w:rsidRDefault="0004489A" w:rsidP="00906A9D">
      <w:pPr>
        <w:pStyle w:val="NormaleWeb"/>
        <w:spacing w:before="0" w:beforeAutospacing="0" w:after="12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>I</w:t>
      </w:r>
      <w:r w:rsidR="00C81BA7" w:rsidRPr="00672692">
        <w:rPr>
          <w:rFonts w:asciiTheme="minorHAnsi" w:eastAsiaTheme="minorHAnsi" w:hAnsiTheme="minorHAnsi" w:cstheme="minorHAnsi"/>
          <w:lang w:eastAsia="en-US"/>
        </w:rPr>
        <w:t xml:space="preserve"> rappresentanti delle </w:t>
      </w:r>
      <w:r w:rsidR="001345C5" w:rsidRPr="00672692">
        <w:rPr>
          <w:rFonts w:asciiTheme="minorHAnsi" w:eastAsiaTheme="minorHAnsi" w:hAnsiTheme="minorHAnsi" w:cstheme="minorHAnsi"/>
          <w:lang w:eastAsia="en-US"/>
        </w:rPr>
        <w:t xml:space="preserve">Associazioni delle </w:t>
      </w:r>
      <w:proofErr w:type="spellStart"/>
      <w:r w:rsidR="00C81BA7" w:rsidRPr="00672692">
        <w:rPr>
          <w:rFonts w:asciiTheme="minorHAnsi" w:eastAsiaTheme="minorHAnsi" w:hAnsiTheme="minorHAnsi" w:cstheme="minorHAnsi"/>
          <w:lang w:eastAsia="en-US"/>
        </w:rPr>
        <w:t>PcD</w:t>
      </w:r>
      <w:proofErr w:type="spellEnd"/>
      <w:r w:rsidR="002E481B"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  <w:r w:rsidR="00C81BA7" w:rsidRPr="00672692">
        <w:rPr>
          <w:rFonts w:asciiTheme="minorHAnsi" w:eastAsiaTheme="minorHAnsi" w:hAnsiTheme="minorHAnsi" w:cstheme="minorHAnsi"/>
          <w:lang w:eastAsia="en-US"/>
        </w:rPr>
        <w:t xml:space="preserve">possano </w:t>
      </w:r>
      <w:r w:rsidR="00F44BC2" w:rsidRPr="00672692">
        <w:rPr>
          <w:rFonts w:asciiTheme="minorHAnsi" w:eastAsiaTheme="minorHAnsi" w:hAnsiTheme="minorHAnsi" w:cstheme="minorHAnsi"/>
          <w:lang w:eastAsia="en-US"/>
        </w:rPr>
        <w:t>partecipare</w:t>
      </w:r>
      <w:r w:rsidR="00C81BA7" w:rsidRPr="00672692">
        <w:rPr>
          <w:rFonts w:asciiTheme="minorHAnsi" w:eastAsiaTheme="minorHAnsi" w:hAnsiTheme="minorHAnsi" w:cstheme="minorHAnsi"/>
          <w:lang w:eastAsia="en-US"/>
        </w:rPr>
        <w:t xml:space="preserve">, </w:t>
      </w:r>
      <w:r w:rsidR="001345C5" w:rsidRPr="00672692">
        <w:rPr>
          <w:rFonts w:asciiTheme="minorHAnsi" w:eastAsiaTheme="minorHAnsi" w:hAnsiTheme="minorHAnsi" w:cstheme="minorHAnsi"/>
          <w:lang w:eastAsia="en-US"/>
        </w:rPr>
        <w:t>per fornire il proprio contributo tecnico-scientifico</w:t>
      </w:r>
      <w:r w:rsidR="00375091" w:rsidRPr="00672692">
        <w:rPr>
          <w:rFonts w:asciiTheme="minorHAnsi" w:eastAsiaTheme="minorHAnsi" w:hAnsiTheme="minorHAnsi" w:cstheme="minorHAnsi"/>
          <w:lang w:eastAsia="en-US"/>
        </w:rPr>
        <w:t>,</w:t>
      </w:r>
      <w:r w:rsidR="001345C5" w:rsidRPr="00672692">
        <w:rPr>
          <w:rFonts w:asciiTheme="minorHAnsi" w:eastAsiaTheme="minorHAnsi" w:hAnsiTheme="minorHAnsi" w:cstheme="minorHAnsi"/>
          <w:lang w:eastAsia="en-US"/>
        </w:rPr>
        <w:t xml:space="preserve"> ovviamente a titolo gratuito, </w:t>
      </w:r>
      <w:r w:rsidR="002E481B" w:rsidRPr="00672692">
        <w:rPr>
          <w:rFonts w:asciiTheme="minorHAnsi" w:eastAsiaTheme="minorHAnsi" w:hAnsiTheme="minorHAnsi" w:cstheme="minorHAnsi"/>
          <w:lang w:eastAsia="en-US"/>
        </w:rPr>
        <w:t>ai lavori del Consiglio Superiore di Sanità</w:t>
      </w:r>
      <w:r w:rsidR="001345C5" w:rsidRPr="00672692">
        <w:rPr>
          <w:rFonts w:asciiTheme="minorHAnsi" w:eastAsiaTheme="minorHAnsi" w:hAnsiTheme="minorHAnsi" w:cstheme="minorHAnsi"/>
          <w:lang w:eastAsia="en-US"/>
        </w:rPr>
        <w:t xml:space="preserve">, della </w:t>
      </w:r>
      <w:r w:rsidR="002E481B" w:rsidRPr="00672692">
        <w:rPr>
          <w:rFonts w:asciiTheme="minorHAnsi" w:eastAsiaTheme="minorHAnsi" w:hAnsiTheme="minorHAnsi" w:cstheme="minorHAnsi"/>
          <w:lang w:eastAsia="en-US"/>
        </w:rPr>
        <w:t>Protezione Civile</w:t>
      </w:r>
      <w:r w:rsidR="001345C5" w:rsidRPr="00672692">
        <w:rPr>
          <w:rFonts w:asciiTheme="minorHAnsi" w:eastAsiaTheme="minorHAnsi" w:hAnsiTheme="minorHAnsi" w:cstheme="minorHAnsi"/>
          <w:lang w:eastAsia="en-US"/>
        </w:rPr>
        <w:t>, del</w:t>
      </w:r>
      <w:r w:rsidR="002E481B" w:rsidRPr="00672692">
        <w:rPr>
          <w:rFonts w:asciiTheme="minorHAnsi" w:eastAsiaTheme="minorHAnsi" w:hAnsiTheme="minorHAnsi" w:cstheme="minorHAnsi"/>
          <w:lang w:eastAsia="en-US"/>
        </w:rPr>
        <w:t xml:space="preserve"> Commissario Nazionale per l’Emergenza da Covid 19</w:t>
      </w:r>
      <w:r w:rsidR="00C81BA7" w:rsidRPr="00672692">
        <w:rPr>
          <w:rFonts w:asciiTheme="minorHAnsi" w:eastAsiaTheme="minorHAnsi" w:hAnsiTheme="minorHAnsi" w:cstheme="minorHAnsi"/>
          <w:lang w:eastAsia="en-US"/>
        </w:rPr>
        <w:t xml:space="preserve"> e del</w:t>
      </w:r>
      <w:r w:rsidR="001345C5" w:rsidRPr="00672692">
        <w:rPr>
          <w:rFonts w:asciiTheme="minorHAnsi" w:eastAsiaTheme="minorHAnsi" w:hAnsiTheme="minorHAnsi" w:cstheme="minorHAnsi"/>
          <w:lang w:eastAsia="en-US"/>
        </w:rPr>
        <w:t>la</w:t>
      </w:r>
      <w:r w:rsidR="00C81BA7"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  <w:r w:rsidR="001345C5" w:rsidRPr="00672692">
        <w:rPr>
          <w:rFonts w:asciiTheme="minorHAnsi" w:eastAsiaTheme="minorHAnsi" w:hAnsiTheme="minorHAnsi" w:cstheme="minorHAnsi"/>
          <w:lang w:eastAsia="en-US"/>
        </w:rPr>
        <w:t>Commissione nazionale per l’aggiornamento dei LEA, quando vengano discusse questioni che concernono anche le persone con disabilità</w:t>
      </w:r>
      <w:r w:rsidR="002E481B" w:rsidRPr="00672692">
        <w:rPr>
          <w:rFonts w:asciiTheme="minorHAnsi" w:eastAsiaTheme="minorHAnsi" w:hAnsiTheme="minorHAnsi" w:cstheme="minorHAnsi"/>
          <w:lang w:eastAsia="en-US"/>
        </w:rPr>
        <w:t>.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  <w:r w:rsidR="002E481B"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5547A4F9" w14:textId="3DED38F7" w:rsidR="00077DF1" w:rsidRPr="00672692" w:rsidRDefault="0004489A" w:rsidP="00077DF1">
      <w:pPr>
        <w:pStyle w:val="Normale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672692">
        <w:rPr>
          <w:rFonts w:asciiTheme="minorHAnsi" w:eastAsiaTheme="minorHAnsi" w:hAnsiTheme="minorHAnsi" w:cstheme="minorHAnsi"/>
          <w:lang w:eastAsia="en-US"/>
        </w:rPr>
        <w:t xml:space="preserve">L’obiettivo a breve </w:t>
      </w:r>
      <w:r w:rsidR="00077DF1" w:rsidRPr="00672692">
        <w:rPr>
          <w:rFonts w:asciiTheme="minorHAnsi" w:eastAsiaTheme="minorHAnsi" w:hAnsiTheme="minorHAnsi" w:cstheme="minorHAnsi"/>
          <w:lang w:eastAsia="en-US"/>
        </w:rPr>
        <w:t xml:space="preserve">e medio 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termine è </w:t>
      </w:r>
      <w:r w:rsidR="00077DF1" w:rsidRPr="00672692">
        <w:rPr>
          <w:rFonts w:asciiTheme="minorHAnsi" w:eastAsiaTheme="minorHAnsi" w:hAnsiTheme="minorHAnsi" w:cstheme="minorHAnsi"/>
          <w:lang w:eastAsia="en-US"/>
        </w:rPr>
        <w:t>quello di contribuire al</w:t>
      </w:r>
      <w:r w:rsidR="00F44BC2" w:rsidRPr="0067269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2692">
        <w:rPr>
          <w:rFonts w:asciiTheme="minorHAnsi" w:hAnsiTheme="minorHAnsi" w:cstheme="minorHAnsi"/>
        </w:rPr>
        <w:t xml:space="preserve">Piano Strategico nazionale e </w:t>
      </w:r>
      <w:r w:rsidR="00077DF1" w:rsidRPr="00672692">
        <w:rPr>
          <w:rFonts w:asciiTheme="minorHAnsi" w:hAnsiTheme="minorHAnsi" w:cstheme="minorHAnsi"/>
        </w:rPr>
        <w:t>a</w:t>
      </w:r>
      <w:r w:rsidRPr="00672692">
        <w:rPr>
          <w:rFonts w:asciiTheme="minorHAnsi" w:hAnsiTheme="minorHAnsi" w:cstheme="minorHAnsi"/>
        </w:rPr>
        <w:t>i Piani regional</w:t>
      </w:r>
      <w:r w:rsidR="00077DF1" w:rsidRPr="00672692">
        <w:rPr>
          <w:rFonts w:asciiTheme="minorHAnsi" w:hAnsiTheme="minorHAnsi" w:cstheme="minorHAnsi"/>
        </w:rPr>
        <w:t>i</w:t>
      </w:r>
      <w:r w:rsidRPr="00672692">
        <w:rPr>
          <w:rFonts w:asciiTheme="minorHAnsi" w:hAnsiTheme="minorHAnsi" w:cstheme="minorHAnsi"/>
        </w:rPr>
        <w:t xml:space="preserve"> relativi alla campagna vaccinale</w:t>
      </w:r>
      <w:r w:rsidR="00E33252" w:rsidRPr="00672692">
        <w:rPr>
          <w:rFonts w:asciiTheme="minorHAnsi" w:hAnsiTheme="minorHAnsi" w:cstheme="minorHAnsi"/>
        </w:rPr>
        <w:t xml:space="preserve"> anti-Covid-19 e anti-influenzale</w:t>
      </w:r>
      <w:r w:rsidR="00077DF1" w:rsidRPr="00672692">
        <w:rPr>
          <w:rFonts w:asciiTheme="minorHAnsi" w:hAnsiTheme="minorHAnsi" w:cstheme="minorHAnsi"/>
        </w:rPr>
        <w:t xml:space="preserve">, affinché possano essere considerate le esigenze delle </w:t>
      </w:r>
      <w:proofErr w:type="spellStart"/>
      <w:r w:rsidR="00077DF1" w:rsidRPr="00672692">
        <w:rPr>
          <w:rFonts w:asciiTheme="minorHAnsi" w:hAnsiTheme="minorHAnsi" w:cstheme="minorHAnsi"/>
        </w:rPr>
        <w:t>PcD</w:t>
      </w:r>
      <w:proofErr w:type="spellEnd"/>
      <w:r w:rsidR="00077DF1" w:rsidRPr="00672692">
        <w:rPr>
          <w:rFonts w:asciiTheme="minorHAnsi" w:hAnsiTheme="minorHAnsi" w:cstheme="minorHAnsi"/>
        </w:rPr>
        <w:t>, secondo logiche di tipo adattativo e flessibile.</w:t>
      </w:r>
    </w:p>
    <w:p w14:paraId="50AF3BDD" w14:textId="77777777" w:rsidR="00382058" w:rsidRPr="00672692" w:rsidRDefault="00382058" w:rsidP="00077DF1">
      <w:pPr>
        <w:pStyle w:val="Normale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14:paraId="7F70953F" w14:textId="5D86FDCA" w:rsidR="009240F6" w:rsidRPr="00672692" w:rsidRDefault="009240F6" w:rsidP="00077DF1">
      <w:pPr>
        <w:pStyle w:val="Normale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</w:rPr>
      </w:pPr>
      <w:r w:rsidRPr="00672692">
        <w:rPr>
          <w:rFonts w:asciiTheme="minorHAnsi" w:hAnsiTheme="minorHAnsi" w:cstheme="minorHAnsi"/>
          <w:b/>
        </w:rPr>
        <w:t>Propost</w:t>
      </w:r>
      <w:r w:rsidR="00382058" w:rsidRPr="00672692">
        <w:rPr>
          <w:rFonts w:asciiTheme="minorHAnsi" w:hAnsiTheme="minorHAnsi" w:cstheme="minorHAnsi"/>
          <w:b/>
        </w:rPr>
        <w:t>e</w:t>
      </w:r>
    </w:p>
    <w:p w14:paraId="5A0D7A70" w14:textId="478E8321" w:rsidR="00B17B53" w:rsidRPr="00672692" w:rsidRDefault="00B17B53" w:rsidP="00E33252">
      <w:pPr>
        <w:spacing w:after="120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>Il Gruppo</w:t>
      </w:r>
      <w:r w:rsidR="00F44BC2" w:rsidRPr="00672692">
        <w:rPr>
          <w:rFonts w:cstheme="minorHAnsi"/>
          <w:sz w:val="24"/>
          <w:szCs w:val="24"/>
        </w:rPr>
        <w:t xml:space="preserve"> 5</w:t>
      </w:r>
      <w:r w:rsidRPr="00672692">
        <w:rPr>
          <w:rFonts w:cstheme="minorHAnsi"/>
          <w:sz w:val="24"/>
          <w:szCs w:val="24"/>
        </w:rPr>
        <w:t xml:space="preserve"> </w:t>
      </w:r>
      <w:r w:rsidR="00C1227C" w:rsidRPr="00672692">
        <w:rPr>
          <w:rFonts w:cstheme="minorHAnsi"/>
          <w:sz w:val="24"/>
          <w:szCs w:val="24"/>
        </w:rPr>
        <w:t>S</w:t>
      </w:r>
      <w:r w:rsidRPr="00672692">
        <w:rPr>
          <w:rFonts w:cstheme="minorHAnsi"/>
          <w:sz w:val="24"/>
          <w:szCs w:val="24"/>
        </w:rPr>
        <w:t>alute del</w:t>
      </w:r>
      <w:r w:rsidR="00E33252" w:rsidRPr="00672692">
        <w:rPr>
          <w:rFonts w:cstheme="minorHAnsi"/>
          <w:sz w:val="24"/>
          <w:szCs w:val="24"/>
        </w:rPr>
        <w:t>l</w:t>
      </w:r>
      <w:r w:rsidR="00F44BC2" w:rsidRPr="00672692">
        <w:rPr>
          <w:rFonts w:cstheme="minorHAnsi"/>
          <w:sz w:val="24"/>
          <w:szCs w:val="24"/>
        </w:rPr>
        <w:t>’OND,</w:t>
      </w:r>
      <w:r w:rsidRPr="00672692">
        <w:rPr>
          <w:rFonts w:cstheme="minorHAnsi"/>
          <w:sz w:val="24"/>
          <w:szCs w:val="24"/>
        </w:rPr>
        <w:t xml:space="preserve"> al fine di accelerare la campagna vaccinale </w:t>
      </w:r>
      <w:r w:rsidR="00E33252" w:rsidRPr="00672692">
        <w:rPr>
          <w:rFonts w:cstheme="minorHAnsi"/>
          <w:sz w:val="24"/>
          <w:szCs w:val="24"/>
        </w:rPr>
        <w:t xml:space="preserve">anti-Covid-19 </w:t>
      </w:r>
      <w:r w:rsidR="009240F6" w:rsidRPr="00672692">
        <w:rPr>
          <w:rFonts w:cstheme="minorHAnsi"/>
          <w:sz w:val="24"/>
          <w:szCs w:val="24"/>
        </w:rPr>
        <w:t>in favore</w:t>
      </w:r>
      <w:r w:rsidRPr="00672692">
        <w:rPr>
          <w:rFonts w:cstheme="minorHAnsi"/>
          <w:sz w:val="24"/>
          <w:szCs w:val="24"/>
        </w:rPr>
        <w:t xml:space="preserve"> delle persone con disabilità, familiari, conviventi e </w:t>
      </w:r>
      <w:proofErr w:type="spellStart"/>
      <w:r w:rsidRPr="00672692">
        <w:rPr>
          <w:rFonts w:cstheme="minorHAnsi"/>
          <w:i/>
          <w:sz w:val="24"/>
          <w:szCs w:val="24"/>
        </w:rPr>
        <w:t>caregiver</w:t>
      </w:r>
      <w:proofErr w:type="spellEnd"/>
      <w:r w:rsidR="00641DCB" w:rsidRPr="00672692">
        <w:rPr>
          <w:rFonts w:cstheme="minorHAnsi"/>
          <w:sz w:val="24"/>
          <w:szCs w:val="24"/>
        </w:rPr>
        <w:t>,</w:t>
      </w:r>
      <w:r w:rsidRPr="00672692">
        <w:rPr>
          <w:rFonts w:cstheme="minorHAnsi"/>
          <w:sz w:val="24"/>
          <w:szCs w:val="24"/>
        </w:rPr>
        <w:t xml:space="preserve"> </w:t>
      </w:r>
      <w:r w:rsidR="00382058" w:rsidRPr="00672692">
        <w:rPr>
          <w:rFonts w:cstheme="minorHAnsi"/>
          <w:sz w:val="24"/>
          <w:szCs w:val="24"/>
        </w:rPr>
        <w:t>formula le seguenti proposte per il sistema organizzativo di vaccinazione</w:t>
      </w:r>
      <w:r w:rsidR="00F44BC2" w:rsidRPr="00672692">
        <w:rPr>
          <w:rFonts w:cstheme="minorHAnsi"/>
          <w:sz w:val="24"/>
          <w:szCs w:val="24"/>
        </w:rPr>
        <w:t>:</w:t>
      </w:r>
    </w:p>
    <w:p w14:paraId="4149539E" w14:textId="4496D1AC" w:rsidR="00DA79F2" w:rsidRPr="002344E9" w:rsidRDefault="00DA79F2" w:rsidP="00DA79F2">
      <w:pPr>
        <w:pStyle w:val="Paragrafoelenco"/>
        <w:numPr>
          <w:ilvl w:val="0"/>
          <w:numId w:val="5"/>
        </w:numPr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72692">
        <w:rPr>
          <w:rFonts w:cstheme="minorHAnsi"/>
          <w:sz w:val="24"/>
          <w:szCs w:val="24"/>
        </w:rPr>
        <w:t>necessit</w:t>
      </w:r>
      <w:r w:rsidR="00C7506C" w:rsidRPr="00672692">
        <w:rPr>
          <w:rFonts w:cstheme="minorHAnsi"/>
          <w:sz w:val="24"/>
          <w:szCs w:val="24"/>
        </w:rPr>
        <w:t xml:space="preserve">à di </w:t>
      </w:r>
      <w:r w:rsidR="00B61941" w:rsidRPr="00672692">
        <w:rPr>
          <w:rFonts w:cstheme="minorHAnsi"/>
          <w:sz w:val="24"/>
          <w:szCs w:val="24"/>
        </w:rPr>
        <w:t>garantire tempistiche e procedure omogenee in tutto il territorio nazionale per la vaccinazione delle persone con disabilità;</w:t>
      </w:r>
      <w:r w:rsidRPr="00672692">
        <w:rPr>
          <w:rFonts w:cstheme="minorHAnsi"/>
          <w:sz w:val="24"/>
          <w:szCs w:val="24"/>
        </w:rPr>
        <w:t xml:space="preserve"> </w:t>
      </w:r>
      <w:r w:rsidR="006E3CB9" w:rsidRPr="002344E9">
        <w:rPr>
          <w:rFonts w:cstheme="minorHAnsi"/>
          <w:color w:val="000000" w:themeColor="text1"/>
          <w:sz w:val="24"/>
          <w:szCs w:val="24"/>
        </w:rPr>
        <w:t xml:space="preserve">a tale scopo utilizzare la lista delle persone con disabilità e </w:t>
      </w:r>
      <w:proofErr w:type="spellStart"/>
      <w:r w:rsidR="006E3CB9" w:rsidRPr="002344E9">
        <w:rPr>
          <w:rFonts w:cstheme="minorHAnsi"/>
          <w:i/>
          <w:color w:val="000000" w:themeColor="text1"/>
          <w:sz w:val="24"/>
          <w:szCs w:val="24"/>
        </w:rPr>
        <w:t>caregiver</w:t>
      </w:r>
      <w:proofErr w:type="spellEnd"/>
      <w:r w:rsidR="006E3CB9" w:rsidRPr="002344E9">
        <w:rPr>
          <w:rFonts w:cstheme="minorHAnsi"/>
          <w:color w:val="000000" w:themeColor="text1"/>
          <w:sz w:val="24"/>
          <w:szCs w:val="24"/>
        </w:rPr>
        <w:t xml:space="preserve"> vaccinate nella prima fase </w:t>
      </w:r>
      <w:r w:rsidR="002344E9" w:rsidRPr="002344E9">
        <w:rPr>
          <w:rFonts w:cstheme="minorHAnsi"/>
          <w:color w:val="000000" w:themeColor="text1"/>
          <w:sz w:val="24"/>
          <w:szCs w:val="24"/>
        </w:rPr>
        <w:t xml:space="preserve">della campagna vaccinale </w:t>
      </w:r>
      <w:r w:rsidR="006E3CB9" w:rsidRPr="002344E9">
        <w:rPr>
          <w:rFonts w:cstheme="minorHAnsi"/>
          <w:color w:val="000000" w:themeColor="text1"/>
          <w:sz w:val="24"/>
          <w:szCs w:val="24"/>
        </w:rPr>
        <w:t>per organizzare il richiamo successivo alla prima somministrazione completa del vaccino;</w:t>
      </w:r>
    </w:p>
    <w:p w14:paraId="521EFD98" w14:textId="788DF6EE" w:rsidR="008944C7" w:rsidRPr="002344E9" w:rsidRDefault="00B17B53" w:rsidP="004842AD">
      <w:pPr>
        <w:pStyle w:val="Paragrafoelenco"/>
        <w:numPr>
          <w:ilvl w:val="0"/>
          <w:numId w:val="5"/>
        </w:numPr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2344E9">
        <w:rPr>
          <w:rFonts w:cstheme="minorHAnsi"/>
          <w:color w:val="000000" w:themeColor="text1"/>
          <w:sz w:val="24"/>
          <w:szCs w:val="24"/>
        </w:rPr>
        <w:t xml:space="preserve">in tutte le </w:t>
      </w:r>
      <w:r w:rsidR="00E33252" w:rsidRPr="002344E9">
        <w:rPr>
          <w:rFonts w:cstheme="minorHAnsi"/>
          <w:color w:val="000000" w:themeColor="text1"/>
          <w:sz w:val="24"/>
          <w:szCs w:val="24"/>
        </w:rPr>
        <w:t xml:space="preserve">Regioni </w:t>
      </w:r>
      <w:r w:rsidRPr="002344E9">
        <w:rPr>
          <w:rFonts w:cstheme="minorHAnsi"/>
          <w:color w:val="000000" w:themeColor="text1"/>
          <w:sz w:val="24"/>
          <w:szCs w:val="24"/>
        </w:rPr>
        <w:t xml:space="preserve">sia </w:t>
      </w:r>
      <w:r w:rsidR="006E3CB9" w:rsidRPr="002344E9">
        <w:rPr>
          <w:rFonts w:cstheme="minorHAnsi"/>
          <w:color w:val="000000" w:themeColor="text1"/>
          <w:sz w:val="24"/>
          <w:szCs w:val="24"/>
        </w:rPr>
        <w:t>inviata la comunicazione ai diretti interessati, garantendo la maggiore vicinanza possibile dei centri vaccinali al domicilio de</w:t>
      </w:r>
      <w:r w:rsidR="002344E9" w:rsidRPr="002344E9">
        <w:rPr>
          <w:rFonts w:cstheme="minorHAnsi"/>
          <w:color w:val="000000" w:themeColor="text1"/>
          <w:sz w:val="24"/>
          <w:szCs w:val="24"/>
        </w:rPr>
        <w:t xml:space="preserve">lle </w:t>
      </w:r>
      <w:r w:rsidR="006E3CB9" w:rsidRPr="002344E9">
        <w:rPr>
          <w:rFonts w:cstheme="minorHAnsi"/>
          <w:color w:val="000000" w:themeColor="text1"/>
          <w:sz w:val="24"/>
          <w:szCs w:val="24"/>
        </w:rPr>
        <w:t>per</w:t>
      </w:r>
      <w:r w:rsidR="002344E9" w:rsidRPr="002344E9">
        <w:rPr>
          <w:rFonts w:cstheme="minorHAnsi"/>
          <w:color w:val="000000" w:themeColor="text1"/>
          <w:sz w:val="24"/>
          <w:szCs w:val="24"/>
        </w:rPr>
        <w:t>s</w:t>
      </w:r>
      <w:r w:rsidR="006E3CB9" w:rsidRPr="002344E9">
        <w:rPr>
          <w:rFonts w:cstheme="minorHAnsi"/>
          <w:color w:val="000000" w:themeColor="text1"/>
          <w:sz w:val="24"/>
          <w:szCs w:val="24"/>
        </w:rPr>
        <w:t>one da vaccinare</w:t>
      </w:r>
      <w:r w:rsidR="000929A1" w:rsidRPr="002344E9">
        <w:rPr>
          <w:rFonts w:cstheme="minorHAnsi"/>
          <w:color w:val="000000" w:themeColor="text1"/>
          <w:sz w:val="24"/>
          <w:szCs w:val="24"/>
        </w:rPr>
        <w:t xml:space="preserve"> indicando anche il nominativo dell’accompagnatore della persona con disabilità</w:t>
      </w:r>
      <w:r w:rsidRPr="002344E9">
        <w:rPr>
          <w:rFonts w:cstheme="minorHAnsi"/>
          <w:color w:val="000000" w:themeColor="text1"/>
          <w:sz w:val="24"/>
          <w:szCs w:val="24"/>
        </w:rPr>
        <w:t>;</w:t>
      </w:r>
      <w:r w:rsidR="00976A3A" w:rsidRPr="002344E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912EE3D" w14:textId="77777777" w:rsidR="009C01DF" w:rsidRPr="00672692" w:rsidRDefault="00B17B53" w:rsidP="009C01DF">
      <w:pPr>
        <w:pStyle w:val="Paragrafoelenco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lastRenderedPageBreak/>
        <w:t xml:space="preserve">siano incrementati i punti vaccinali </w:t>
      </w:r>
      <w:r w:rsidR="000929A1" w:rsidRPr="00672692">
        <w:rPr>
          <w:rFonts w:cstheme="minorHAnsi"/>
          <w:sz w:val="24"/>
          <w:szCs w:val="24"/>
        </w:rPr>
        <w:t xml:space="preserve">in modo omogeneo su tutto il territorio nazionale, </w:t>
      </w:r>
      <w:r w:rsidRPr="00672692">
        <w:rPr>
          <w:rFonts w:cstheme="minorHAnsi"/>
          <w:sz w:val="24"/>
          <w:szCs w:val="24"/>
        </w:rPr>
        <w:t>utilizzando anche strutture residenziali e semiresidenziali per persone con disabilità accreditate con il SSR</w:t>
      </w:r>
      <w:r w:rsidR="000929A1" w:rsidRPr="00672692">
        <w:rPr>
          <w:rFonts w:cstheme="minorHAnsi"/>
          <w:sz w:val="24"/>
          <w:szCs w:val="24"/>
        </w:rPr>
        <w:t>, nonché centri clinici di riferimento per patologia</w:t>
      </w:r>
      <w:r w:rsidR="00641DCB" w:rsidRPr="00672692">
        <w:rPr>
          <w:rFonts w:cstheme="minorHAnsi"/>
          <w:sz w:val="24"/>
          <w:szCs w:val="24"/>
        </w:rPr>
        <w:t>;</w:t>
      </w:r>
    </w:p>
    <w:p w14:paraId="33082A4F" w14:textId="190D75D0" w:rsidR="009C01DF" w:rsidRPr="00672692" w:rsidRDefault="009C01DF" w:rsidP="009C01DF">
      <w:pPr>
        <w:pStyle w:val="Paragrafoelenco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>prevedere facilitazioni, accessibilità e percorsi dedicati per le persone con disabilità all'interno dei Centri Vaccinali;</w:t>
      </w:r>
    </w:p>
    <w:p w14:paraId="0E2862C6" w14:textId="6D03A4B2" w:rsidR="003B2B0E" w:rsidRPr="002344E9" w:rsidRDefault="008D045A" w:rsidP="004842AD">
      <w:pPr>
        <w:pStyle w:val="Paragrafoelenco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 xml:space="preserve">sia accelerata </w:t>
      </w:r>
      <w:r w:rsidR="003B2B0E" w:rsidRPr="00672692">
        <w:rPr>
          <w:rFonts w:cstheme="minorHAnsi"/>
          <w:sz w:val="24"/>
          <w:szCs w:val="24"/>
        </w:rPr>
        <w:t>la vaccinazione a domicilio per le persone</w:t>
      </w:r>
      <w:r w:rsidRPr="00672692">
        <w:rPr>
          <w:rFonts w:cstheme="minorHAnsi"/>
          <w:sz w:val="24"/>
          <w:szCs w:val="24"/>
        </w:rPr>
        <w:t xml:space="preserve"> non autosufficienti e intrasportabili con i comuni mezzi </w:t>
      </w:r>
      <w:r w:rsidR="003B2B0E" w:rsidRPr="00672692">
        <w:rPr>
          <w:rFonts w:cstheme="minorHAnsi"/>
          <w:sz w:val="24"/>
          <w:szCs w:val="24"/>
        </w:rPr>
        <w:t xml:space="preserve">di </w:t>
      </w:r>
      <w:r w:rsidR="003B2B0E" w:rsidRPr="002344E9">
        <w:rPr>
          <w:rFonts w:cstheme="minorHAnsi"/>
          <w:sz w:val="24"/>
          <w:szCs w:val="24"/>
        </w:rPr>
        <w:t>trasporto</w:t>
      </w:r>
      <w:r w:rsidR="006E3CB9" w:rsidRPr="002344E9">
        <w:rPr>
          <w:rFonts w:cstheme="minorHAnsi"/>
          <w:sz w:val="24"/>
          <w:szCs w:val="24"/>
        </w:rPr>
        <w:t xml:space="preserve"> potenziando le </w:t>
      </w:r>
      <w:r w:rsidR="002344E9" w:rsidRPr="002344E9">
        <w:rPr>
          <w:rFonts w:cstheme="minorHAnsi"/>
          <w:sz w:val="24"/>
          <w:szCs w:val="24"/>
        </w:rPr>
        <w:t>équipe</w:t>
      </w:r>
      <w:r w:rsidR="006E3CB9" w:rsidRPr="002344E9">
        <w:rPr>
          <w:rFonts w:cstheme="minorHAnsi"/>
          <w:sz w:val="24"/>
          <w:szCs w:val="24"/>
        </w:rPr>
        <w:t xml:space="preserve"> mobili e/o le U</w:t>
      </w:r>
      <w:r w:rsidR="002344E9" w:rsidRPr="002344E9">
        <w:rPr>
          <w:rFonts w:cstheme="minorHAnsi"/>
          <w:sz w:val="24"/>
          <w:szCs w:val="24"/>
        </w:rPr>
        <w:t>nità speciali di Continuità Assistenziale (USCA)</w:t>
      </w:r>
      <w:r w:rsidR="00E33252" w:rsidRPr="002344E9">
        <w:rPr>
          <w:rFonts w:cstheme="minorHAnsi"/>
          <w:sz w:val="24"/>
          <w:szCs w:val="24"/>
        </w:rPr>
        <w:t>;</w:t>
      </w:r>
    </w:p>
    <w:p w14:paraId="67540DDF" w14:textId="329D7D31" w:rsidR="00E33252" w:rsidRPr="00672692" w:rsidRDefault="00BB4435" w:rsidP="004842AD">
      <w:pPr>
        <w:pStyle w:val="Paragrafoelenco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 xml:space="preserve">al fine di ottimizzare l’organizzazione delle vaccinazioni per il target di popolazione in condizioni di disabilità </w:t>
      </w:r>
      <w:r w:rsidR="00E33252" w:rsidRPr="00672692">
        <w:rPr>
          <w:rFonts w:cstheme="minorHAnsi"/>
          <w:sz w:val="24"/>
          <w:szCs w:val="24"/>
        </w:rPr>
        <w:t xml:space="preserve">le Regioni e le Aziende sanitarie accedano ai dati relativi alle persone con disabilità, </w:t>
      </w:r>
      <w:r w:rsidRPr="00672692">
        <w:rPr>
          <w:rFonts w:cstheme="minorHAnsi"/>
          <w:sz w:val="24"/>
          <w:szCs w:val="24"/>
        </w:rPr>
        <w:t>nelle diverse banche dati</w:t>
      </w:r>
      <w:r w:rsidR="00907454" w:rsidRPr="00672692">
        <w:rPr>
          <w:rFonts w:cstheme="minorHAnsi"/>
          <w:sz w:val="24"/>
          <w:szCs w:val="24"/>
        </w:rPr>
        <w:t xml:space="preserve"> disponibili</w:t>
      </w:r>
      <w:r w:rsidRPr="00672692">
        <w:rPr>
          <w:rFonts w:cstheme="minorHAnsi"/>
          <w:sz w:val="24"/>
          <w:szCs w:val="24"/>
        </w:rPr>
        <w:t>, tra le quali quelle dell’Inps e delle Prefetture, favorendo la semplificazione delle procedure di accesso alle informazioni</w:t>
      </w:r>
      <w:r w:rsidR="00E33252" w:rsidRPr="00672692">
        <w:rPr>
          <w:rFonts w:cstheme="minorHAnsi"/>
          <w:sz w:val="24"/>
          <w:szCs w:val="24"/>
        </w:rPr>
        <w:t xml:space="preserve">; </w:t>
      </w:r>
    </w:p>
    <w:p w14:paraId="5C7E19A8" w14:textId="77777777" w:rsidR="002B1DFA" w:rsidRPr="00672692" w:rsidRDefault="00A61C94" w:rsidP="002B1DFA">
      <w:pPr>
        <w:pStyle w:val="Paragrafoelenco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>il</w:t>
      </w:r>
      <w:r w:rsidR="00BB4435" w:rsidRPr="00672692">
        <w:rPr>
          <w:rFonts w:cstheme="minorHAnsi"/>
          <w:sz w:val="24"/>
          <w:szCs w:val="24"/>
        </w:rPr>
        <w:t>/i</w:t>
      </w:r>
      <w:r w:rsidRPr="00672692">
        <w:rPr>
          <w:rFonts w:cstheme="minorHAnsi"/>
          <w:sz w:val="24"/>
          <w:szCs w:val="24"/>
        </w:rPr>
        <w:t xml:space="preserve"> </w:t>
      </w:r>
      <w:proofErr w:type="spellStart"/>
      <w:r w:rsidRPr="00672692">
        <w:rPr>
          <w:rFonts w:cstheme="minorHAnsi"/>
          <w:i/>
          <w:sz w:val="24"/>
          <w:szCs w:val="24"/>
        </w:rPr>
        <w:t>caregiver</w:t>
      </w:r>
      <w:proofErr w:type="spellEnd"/>
      <w:r w:rsidRPr="00672692">
        <w:rPr>
          <w:rFonts w:cstheme="minorHAnsi"/>
          <w:sz w:val="24"/>
          <w:szCs w:val="24"/>
        </w:rPr>
        <w:t xml:space="preserve"> sia</w:t>
      </w:r>
      <w:r w:rsidR="00BB4435" w:rsidRPr="00672692">
        <w:rPr>
          <w:rFonts w:cstheme="minorHAnsi"/>
          <w:sz w:val="24"/>
          <w:szCs w:val="24"/>
        </w:rPr>
        <w:t>/siano</w:t>
      </w:r>
      <w:r w:rsidRPr="00672692">
        <w:rPr>
          <w:rFonts w:cstheme="minorHAnsi"/>
          <w:sz w:val="24"/>
          <w:szCs w:val="24"/>
        </w:rPr>
        <w:t xml:space="preserve"> individuato</w:t>
      </w:r>
      <w:r w:rsidR="00BB4435" w:rsidRPr="00672692">
        <w:rPr>
          <w:rFonts w:cstheme="minorHAnsi"/>
          <w:sz w:val="24"/>
          <w:szCs w:val="24"/>
        </w:rPr>
        <w:t>/i</w:t>
      </w:r>
      <w:r w:rsidRPr="00672692">
        <w:rPr>
          <w:rFonts w:cstheme="minorHAnsi"/>
          <w:sz w:val="24"/>
          <w:szCs w:val="24"/>
        </w:rPr>
        <w:t xml:space="preserve"> dalla persona con disabilità o dal suo tutore/amministratore di sostegno attraverso una autocertificazione</w:t>
      </w:r>
      <w:r w:rsidR="002B1DFA" w:rsidRPr="00672692">
        <w:rPr>
          <w:rFonts w:cstheme="minorHAnsi"/>
          <w:sz w:val="24"/>
          <w:szCs w:val="24"/>
        </w:rPr>
        <w:t>;</w:t>
      </w:r>
    </w:p>
    <w:p w14:paraId="13951DBB" w14:textId="1AD2107D" w:rsidR="002B1DFA" w:rsidRPr="00672692" w:rsidRDefault="002B1DFA" w:rsidP="002B1DFA">
      <w:pPr>
        <w:pStyle w:val="Paragrafoelenco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 w:rsidRPr="00672692">
        <w:rPr>
          <w:rFonts w:cstheme="minorHAnsi"/>
          <w:sz w:val="24"/>
          <w:szCs w:val="24"/>
        </w:rPr>
        <w:t>in tutte le Regioni sia consentita la presenza di un rappresentante delle Associazioni delle persone con disabilità, all’interno dei team operativi di organizzazione delle vaccinazioni a livello territoriale.</w:t>
      </w:r>
    </w:p>
    <w:p w14:paraId="1DFAE0A2" w14:textId="6D2FDFC8" w:rsidR="00C1227C" w:rsidRPr="00672692" w:rsidRDefault="00C1227C" w:rsidP="00375091">
      <w:pPr>
        <w:pStyle w:val="NormaleWeb"/>
        <w:spacing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>Inoltre il Gruppo 5 Salute dell’OND chiede che rappresentanti delle Associazioni delle persone con disabilità siano coinvolti</w:t>
      </w:r>
      <w:r w:rsidR="0050620B">
        <w:rPr>
          <w:rFonts w:asciiTheme="minorHAnsi" w:eastAsiaTheme="minorHAnsi" w:hAnsiTheme="minorHAnsi" w:cstheme="minorHAnsi"/>
          <w:lang w:eastAsia="en-US"/>
        </w:rPr>
        <w:t xml:space="preserve"> in qualità di esperti e</w:t>
      </w:r>
      <w:r w:rsidRPr="00672692">
        <w:rPr>
          <w:rFonts w:asciiTheme="minorHAnsi" w:eastAsiaTheme="minorHAnsi" w:hAnsiTheme="minorHAnsi" w:cstheme="minorHAnsi"/>
          <w:lang w:eastAsia="en-US"/>
        </w:rPr>
        <w:t xml:space="preserve"> in applicazione dei principi della Convenzione ONU, nei processi decisionali </w:t>
      </w:r>
      <w:r w:rsidR="00E329CE">
        <w:rPr>
          <w:rFonts w:asciiTheme="minorHAnsi" w:eastAsiaTheme="minorHAnsi" w:hAnsiTheme="minorHAnsi" w:cstheme="minorHAnsi"/>
          <w:lang w:eastAsia="en-US"/>
        </w:rPr>
        <w:t xml:space="preserve">che riguardano </w:t>
      </w:r>
      <w:r w:rsidR="002344E9">
        <w:rPr>
          <w:rFonts w:asciiTheme="minorHAnsi" w:eastAsiaTheme="minorHAnsi" w:hAnsiTheme="minorHAnsi" w:cstheme="minorHAnsi"/>
          <w:lang w:eastAsia="en-US"/>
        </w:rPr>
        <w:t xml:space="preserve">la salute </w:t>
      </w:r>
      <w:r w:rsidR="00E329CE">
        <w:rPr>
          <w:rFonts w:asciiTheme="minorHAnsi" w:eastAsiaTheme="minorHAnsi" w:hAnsiTheme="minorHAnsi" w:cstheme="minorHAnsi"/>
          <w:lang w:eastAsia="en-US"/>
        </w:rPr>
        <w:t>del</w:t>
      </w:r>
      <w:r w:rsidRPr="00672692">
        <w:rPr>
          <w:rFonts w:asciiTheme="minorHAnsi" w:eastAsiaTheme="minorHAnsi" w:hAnsiTheme="minorHAnsi" w:cstheme="minorHAnsi"/>
          <w:lang w:eastAsia="en-US"/>
        </w:rPr>
        <w:t>le persone con disabilità, nell’ambito dei seguenti organismi istituzionali:</w:t>
      </w:r>
    </w:p>
    <w:p w14:paraId="08F282D6" w14:textId="565805CC" w:rsidR="00C1227C" w:rsidRPr="00672692" w:rsidRDefault="00C1227C" w:rsidP="00375091">
      <w:pPr>
        <w:pStyle w:val="Normale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>Consiglio Superiore di Sanità</w:t>
      </w:r>
    </w:p>
    <w:p w14:paraId="528A7A4E" w14:textId="5810A62C" w:rsidR="00C1227C" w:rsidRPr="00672692" w:rsidRDefault="00C1227C" w:rsidP="00375091">
      <w:pPr>
        <w:pStyle w:val="Normale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>Protezione Civile</w:t>
      </w:r>
    </w:p>
    <w:p w14:paraId="71F8B628" w14:textId="77777777" w:rsidR="00C1227C" w:rsidRPr="00672692" w:rsidRDefault="00C1227C" w:rsidP="00375091">
      <w:pPr>
        <w:pStyle w:val="Normale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>Commissario Nazionale per l’Emergenza da Covid 19</w:t>
      </w:r>
    </w:p>
    <w:p w14:paraId="5A91FDCB" w14:textId="4135EDFF" w:rsidR="00C1227C" w:rsidRPr="00672692" w:rsidRDefault="00C1227C" w:rsidP="00375091">
      <w:pPr>
        <w:pStyle w:val="Normale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2692">
        <w:rPr>
          <w:rFonts w:asciiTheme="minorHAnsi" w:eastAsiaTheme="minorHAnsi" w:hAnsiTheme="minorHAnsi" w:cstheme="minorHAnsi"/>
          <w:lang w:eastAsia="en-US"/>
        </w:rPr>
        <w:t>Commissione nazionale per l’aggiornamento dei LEA.</w:t>
      </w:r>
    </w:p>
    <w:p w14:paraId="33B29F56" w14:textId="66976601" w:rsidR="00332671" w:rsidRPr="00672692" w:rsidRDefault="00332671" w:rsidP="004842AD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931244E" w14:textId="77777777" w:rsidR="00332671" w:rsidRPr="00672692" w:rsidRDefault="00332671" w:rsidP="004842AD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349471B" w14:textId="77777777" w:rsidR="006C0E8A" w:rsidRPr="00672692" w:rsidRDefault="006C0E8A" w:rsidP="004842AD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3E620D90" w14:textId="5C2419EA" w:rsidR="00E87F88" w:rsidRPr="00672692" w:rsidRDefault="00E87F88" w:rsidP="004842AD">
      <w:pPr>
        <w:jc w:val="both"/>
        <w:rPr>
          <w:rFonts w:cstheme="minorHAnsi"/>
          <w:sz w:val="24"/>
          <w:szCs w:val="24"/>
        </w:rPr>
      </w:pPr>
    </w:p>
    <w:p w14:paraId="1F82EEB2" w14:textId="0751E10B" w:rsidR="008D045A" w:rsidRPr="002344E9" w:rsidRDefault="002344E9" w:rsidP="00E87F88">
      <w:pPr>
        <w:jc w:val="both"/>
        <w:rPr>
          <w:b/>
        </w:rPr>
      </w:pPr>
      <w:r w:rsidRPr="002344E9">
        <w:rPr>
          <w:b/>
        </w:rPr>
        <w:t>3 MAGGIO 2021</w:t>
      </w:r>
    </w:p>
    <w:sectPr w:rsidR="008D045A" w:rsidRPr="002344E9" w:rsidSect="002057BF"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A723" w14:textId="77777777" w:rsidR="00E41157" w:rsidRDefault="00E41157" w:rsidP="00383CB7">
      <w:pPr>
        <w:spacing w:after="0" w:line="240" w:lineRule="auto"/>
      </w:pPr>
      <w:r>
        <w:separator/>
      </w:r>
    </w:p>
  </w:endnote>
  <w:endnote w:type="continuationSeparator" w:id="0">
    <w:p w14:paraId="389872BB" w14:textId="77777777" w:rsidR="00E41157" w:rsidRDefault="00E41157" w:rsidP="0038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299086"/>
      <w:docPartObj>
        <w:docPartGallery w:val="Page Numbers (Bottom of Page)"/>
        <w:docPartUnique/>
      </w:docPartObj>
    </w:sdtPr>
    <w:sdtEndPr/>
    <w:sdtContent>
      <w:p w14:paraId="0969D378" w14:textId="6C1292EF" w:rsidR="00375091" w:rsidRDefault="003750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2B">
          <w:rPr>
            <w:noProof/>
          </w:rPr>
          <w:t>4</w:t>
        </w:r>
        <w:r>
          <w:fldChar w:fldCharType="end"/>
        </w:r>
      </w:p>
    </w:sdtContent>
  </w:sdt>
  <w:p w14:paraId="673F4480" w14:textId="77777777" w:rsidR="00375091" w:rsidRDefault="00375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4BBC3" w14:textId="77777777" w:rsidR="00E41157" w:rsidRDefault="00E41157" w:rsidP="00383CB7">
      <w:pPr>
        <w:spacing w:after="0" w:line="240" w:lineRule="auto"/>
      </w:pPr>
      <w:r>
        <w:separator/>
      </w:r>
    </w:p>
  </w:footnote>
  <w:footnote w:type="continuationSeparator" w:id="0">
    <w:p w14:paraId="259BCCDC" w14:textId="77777777" w:rsidR="00E41157" w:rsidRDefault="00E41157" w:rsidP="00383CB7">
      <w:pPr>
        <w:spacing w:after="0" w:line="240" w:lineRule="auto"/>
      </w:pPr>
      <w:r>
        <w:continuationSeparator/>
      </w:r>
    </w:p>
  </w:footnote>
  <w:footnote w:id="1">
    <w:p w14:paraId="7646F144" w14:textId="1694A126" w:rsidR="005E4A69" w:rsidRDefault="00383CB7" w:rsidP="005E4A69">
      <w:pPr>
        <w:pStyle w:val="Testonotaapidipagina"/>
        <w:jc w:val="both"/>
      </w:pPr>
      <w:r>
        <w:rPr>
          <w:rStyle w:val="Rimandonotaapidipagina"/>
        </w:rPr>
        <w:footnoteRef/>
      </w:r>
      <w:r w:rsidRPr="00383CB7">
        <w:t xml:space="preserve"> </w:t>
      </w:r>
      <w:r w:rsidRPr="0003105D">
        <w:t>Cfr. Gli studi evidenziano una specifica suscettibilità al Co</w:t>
      </w:r>
      <w:r w:rsidR="002344E9">
        <w:t>vid</w:t>
      </w:r>
      <w:r w:rsidRPr="0003105D">
        <w:t>-19 ne</w:t>
      </w:r>
      <w:r w:rsidR="005E4A69" w:rsidRPr="0003105D">
        <w:t>i soggetti</w:t>
      </w:r>
      <w:r w:rsidRPr="0003105D">
        <w:t xml:space="preserve"> con sindrome di Down</w:t>
      </w:r>
      <w:r w:rsidR="005E4A69" w:rsidRPr="0003105D">
        <w:t>:</w:t>
      </w:r>
      <w:r w:rsidRPr="0003105D">
        <w:t xml:space="preserve"> </w:t>
      </w:r>
      <w:hyperlink r:id="rId1" w:history="1">
        <w:r w:rsidR="005E4A69" w:rsidRPr="005A3061">
          <w:rPr>
            <w:rStyle w:val="Collegamentoipertestuale"/>
          </w:rPr>
          <w:t>https://pubmed.ncbi.nlm.nih.gov/33660221/</w:t>
        </w:r>
      </w:hyperlink>
      <w:r w:rsidR="006B4B53">
        <w:t xml:space="preserve">; </w:t>
      </w:r>
      <w:hyperlink r:id="rId2" w:history="1">
        <w:r w:rsidR="005E4A69" w:rsidRPr="005A3061">
          <w:rPr>
            <w:rStyle w:val="Collegamentoipertestuale"/>
          </w:rPr>
          <w:t>https://www.iss.it/coronavirus/-/asset_publisher/1SRKHcCJJQ7E/content/csn%25C2%25B049-2020-covid-19-e-sindrome-di-down-mortalit%25C3%25A0-fino-a-10-volte-pi%25C3%25B9-elevata</w:t>
        </w:r>
      </w:hyperlink>
      <w:r w:rsidR="006B4B53">
        <w:t xml:space="preserve">; </w:t>
      </w:r>
      <w:r w:rsidR="006B4B53" w:rsidRPr="0003105D">
        <w:t>un rischio aumentato di esiti sfavorevoli nelle persone con demenza:</w:t>
      </w:r>
      <w:r w:rsidR="006B4B53">
        <w:t xml:space="preserve"> </w:t>
      </w:r>
      <w:hyperlink r:id="rId3" w:history="1">
        <w:r w:rsidR="006B4B53" w:rsidRPr="005A3061">
          <w:rPr>
            <w:rStyle w:val="Collegamentoipertestuale"/>
          </w:rPr>
          <w:t>https://www.iss.it/documents/20126/0/Rapporto+ISS+COVID-19+61_2020.pdf/c2f4f7b5-68e9-849b-0071-f36d4560d83f?t=1603878366209</w:t>
        </w:r>
      </w:hyperlink>
      <w:r w:rsidR="006B4B53">
        <w:t xml:space="preserve">; </w:t>
      </w:r>
      <w:r w:rsidR="001368F7" w:rsidRPr="0003105D">
        <w:t xml:space="preserve">un fattore di rischio indipendente per infezione da SARS-CoV-2 la condizione di </w:t>
      </w:r>
      <w:r w:rsidR="006B4B53" w:rsidRPr="0003105D">
        <w:t>disturbo mentale</w:t>
      </w:r>
      <w:r w:rsidR="001368F7" w:rsidRPr="0003105D">
        <w:t>:</w:t>
      </w:r>
      <w:r w:rsidR="001368F7">
        <w:t xml:space="preserve"> </w:t>
      </w:r>
      <w:hyperlink r:id="rId4" w:history="1">
        <w:r w:rsidR="001368F7" w:rsidRPr="005A3061">
          <w:rPr>
            <w:rStyle w:val="Collegamentoipertestuale"/>
          </w:rPr>
          <w:t>http://www.quotidianosanita.it/scienza-e-farmaci/articolo.php?articolo_id=94880</w:t>
        </w:r>
      </w:hyperlink>
      <w:r w:rsidR="001368F7">
        <w:t>.</w:t>
      </w:r>
    </w:p>
    <w:p w14:paraId="113A8983" w14:textId="77777777" w:rsidR="005E4A69" w:rsidRPr="00383CB7" w:rsidRDefault="005E4A69" w:rsidP="005E4A69">
      <w:pPr>
        <w:pStyle w:val="Testonotaapidipagina"/>
        <w:jc w:val="both"/>
      </w:pPr>
    </w:p>
  </w:footnote>
  <w:footnote w:id="2">
    <w:p w14:paraId="69B327B3" w14:textId="0CC4254B" w:rsidR="00E2374E" w:rsidRDefault="00E2374E" w:rsidP="00E2374E">
      <w:pPr>
        <w:pStyle w:val="Testonotaapidipagina"/>
        <w:jc w:val="both"/>
      </w:pPr>
      <w:r w:rsidRPr="000929A1">
        <w:rPr>
          <w:rStyle w:val="Rimandonotaapidipagina"/>
        </w:rPr>
        <w:footnoteRef/>
      </w:r>
      <w:r w:rsidRPr="000929A1">
        <w:t xml:space="preserve"> Nell’elaborazione e nell’attuazione della legislazione e delle politiche da adottare per attuare la presente Convenzione, così come negli altri processi decisionali relativi a questioni concernenti le persone con disabilità, gli Stati Parti operano in stretta consultazione e coinvolgono attivamente le persone con disabilità, compresi i minori con disabilità, attraverso le loro organizzazioni rappresentative.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D92"/>
    <w:multiLevelType w:val="multilevel"/>
    <w:tmpl w:val="FA42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16AB0"/>
    <w:multiLevelType w:val="hybridMultilevel"/>
    <w:tmpl w:val="6EB69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4AE7"/>
    <w:multiLevelType w:val="hybridMultilevel"/>
    <w:tmpl w:val="AEF0B798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89C1E1C"/>
    <w:multiLevelType w:val="hybridMultilevel"/>
    <w:tmpl w:val="C26E67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C5883"/>
    <w:multiLevelType w:val="multilevel"/>
    <w:tmpl w:val="E222E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B598E"/>
    <w:multiLevelType w:val="multilevel"/>
    <w:tmpl w:val="D1A8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414E4"/>
    <w:multiLevelType w:val="hybridMultilevel"/>
    <w:tmpl w:val="E0E2C336"/>
    <w:lvl w:ilvl="0" w:tplc="ABA8F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74A67"/>
    <w:multiLevelType w:val="hybridMultilevel"/>
    <w:tmpl w:val="417CA4F8"/>
    <w:lvl w:ilvl="0" w:tplc="5DACF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4A"/>
    <w:rsid w:val="00027119"/>
    <w:rsid w:val="0003105D"/>
    <w:rsid w:val="0004489A"/>
    <w:rsid w:val="00060D00"/>
    <w:rsid w:val="00077DF1"/>
    <w:rsid w:val="0009112B"/>
    <w:rsid w:val="00092265"/>
    <w:rsid w:val="000929A1"/>
    <w:rsid w:val="00094BF7"/>
    <w:rsid w:val="000955CE"/>
    <w:rsid w:val="000C1E81"/>
    <w:rsid w:val="000C6E24"/>
    <w:rsid w:val="000D3B6B"/>
    <w:rsid w:val="000F0C26"/>
    <w:rsid w:val="001105FF"/>
    <w:rsid w:val="001345C5"/>
    <w:rsid w:val="001368F7"/>
    <w:rsid w:val="00146DF5"/>
    <w:rsid w:val="0014740A"/>
    <w:rsid w:val="0016246A"/>
    <w:rsid w:val="0016755A"/>
    <w:rsid w:val="00182BF4"/>
    <w:rsid w:val="001C7C0A"/>
    <w:rsid w:val="002057BF"/>
    <w:rsid w:val="002344E9"/>
    <w:rsid w:val="00237997"/>
    <w:rsid w:val="00240B2B"/>
    <w:rsid w:val="00242022"/>
    <w:rsid w:val="00252B94"/>
    <w:rsid w:val="002762AD"/>
    <w:rsid w:val="002B1DFA"/>
    <w:rsid w:val="002D4824"/>
    <w:rsid w:val="002E38F3"/>
    <w:rsid w:val="002E481B"/>
    <w:rsid w:val="002F2C9D"/>
    <w:rsid w:val="002F445D"/>
    <w:rsid w:val="002F4AD6"/>
    <w:rsid w:val="002F5836"/>
    <w:rsid w:val="00316183"/>
    <w:rsid w:val="00327B18"/>
    <w:rsid w:val="00332671"/>
    <w:rsid w:val="00375091"/>
    <w:rsid w:val="00382058"/>
    <w:rsid w:val="00383CB7"/>
    <w:rsid w:val="0039173F"/>
    <w:rsid w:val="003A67E6"/>
    <w:rsid w:val="003B2B0E"/>
    <w:rsid w:val="003C6D1B"/>
    <w:rsid w:val="003D39E9"/>
    <w:rsid w:val="003F0864"/>
    <w:rsid w:val="00454B4A"/>
    <w:rsid w:val="00481A27"/>
    <w:rsid w:val="004842AD"/>
    <w:rsid w:val="004A0CA1"/>
    <w:rsid w:val="004A6378"/>
    <w:rsid w:val="004B6405"/>
    <w:rsid w:val="004C119D"/>
    <w:rsid w:val="004D3302"/>
    <w:rsid w:val="0050620B"/>
    <w:rsid w:val="005142F0"/>
    <w:rsid w:val="00524E2A"/>
    <w:rsid w:val="005923E9"/>
    <w:rsid w:val="00596D9A"/>
    <w:rsid w:val="005976E7"/>
    <w:rsid w:val="005A64C6"/>
    <w:rsid w:val="005B33B5"/>
    <w:rsid w:val="005B6330"/>
    <w:rsid w:val="005C1819"/>
    <w:rsid w:val="005D5CD8"/>
    <w:rsid w:val="005E4A69"/>
    <w:rsid w:val="006143B0"/>
    <w:rsid w:val="006341FB"/>
    <w:rsid w:val="00641DCB"/>
    <w:rsid w:val="0065714A"/>
    <w:rsid w:val="00662D5C"/>
    <w:rsid w:val="00670EC4"/>
    <w:rsid w:val="00672692"/>
    <w:rsid w:val="00687870"/>
    <w:rsid w:val="0069693A"/>
    <w:rsid w:val="006B4B53"/>
    <w:rsid w:val="006C0E8A"/>
    <w:rsid w:val="006E3CB9"/>
    <w:rsid w:val="006E40D8"/>
    <w:rsid w:val="00757862"/>
    <w:rsid w:val="00775B5B"/>
    <w:rsid w:val="007C25A0"/>
    <w:rsid w:val="007F7798"/>
    <w:rsid w:val="0082276B"/>
    <w:rsid w:val="008944C7"/>
    <w:rsid w:val="008A4C0D"/>
    <w:rsid w:val="008D045A"/>
    <w:rsid w:val="00906A9D"/>
    <w:rsid w:val="00907454"/>
    <w:rsid w:val="009240F6"/>
    <w:rsid w:val="009329A7"/>
    <w:rsid w:val="0094008A"/>
    <w:rsid w:val="00946443"/>
    <w:rsid w:val="00970E57"/>
    <w:rsid w:val="00976A3A"/>
    <w:rsid w:val="00991602"/>
    <w:rsid w:val="009A7483"/>
    <w:rsid w:val="009B2332"/>
    <w:rsid w:val="009C01DF"/>
    <w:rsid w:val="009D7CDA"/>
    <w:rsid w:val="009E3C02"/>
    <w:rsid w:val="009F192A"/>
    <w:rsid w:val="00A04477"/>
    <w:rsid w:val="00A21277"/>
    <w:rsid w:val="00A324B3"/>
    <w:rsid w:val="00A424F0"/>
    <w:rsid w:val="00A46EE5"/>
    <w:rsid w:val="00A61C94"/>
    <w:rsid w:val="00AC2276"/>
    <w:rsid w:val="00AC429F"/>
    <w:rsid w:val="00AD4DEF"/>
    <w:rsid w:val="00AF44E1"/>
    <w:rsid w:val="00AF468A"/>
    <w:rsid w:val="00B17B53"/>
    <w:rsid w:val="00B44328"/>
    <w:rsid w:val="00B61941"/>
    <w:rsid w:val="00BA5645"/>
    <w:rsid w:val="00BB4435"/>
    <w:rsid w:val="00BB5CA6"/>
    <w:rsid w:val="00BD0E77"/>
    <w:rsid w:val="00BD0E9C"/>
    <w:rsid w:val="00BD6FAE"/>
    <w:rsid w:val="00C1227C"/>
    <w:rsid w:val="00C14684"/>
    <w:rsid w:val="00C373C9"/>
    <w:rsid w:val="00C7506C"/>
    <w:rsid w:val="00C81BA7"/>
    <w:rsid w:val="00CE3E4E"/>
    <w:rsid w:val="00CF3B51"/>
    <w:rsid w:val="00D165BB"/>
    <w:rsid w:val="00D55A6D"/>
    <w:rsid w:val="00D603C0"/>
    <w:rsid w:val="00D60B49"/>
    <w:rsid w:val="00D62159"/>
    <w:rsid w:val="00D94660"/>
    <w:rsid w:val="00DA79F2"/>
    <w:rsid w:val="00DB36F0"/>
    <w:rsid w:val="00DD12D4"/>
    <w:rsid w:val="00E2374E"/>
    <w:rsid w:val="00E329CE"/>
    <w:rsid w:val="00E33252"/>
    <w:rsid w:val="00E41157"/>
    <w:rsid w:val="00E50803"/>
    <w:rsid w:val="00E57C32"/>
    <w:rsid w:val="00E70B2C"/>
    <w:rsid w:val="00E87F88"/>
    <w:rsid w:val="00EB772B"/>
    <w:rsid w:val="00ED0641"/>
    <w:rsid w:val="00EE1458"/>
    <w:rsid w:val="00EE4766"/>
    <w:rsid w:val="00F07BF1"/>
    <w:rsid w:val="00F3049F"/>
    <w:rsid w:val="00F362AD"/>
    <w:rsid w:val="00F43C1E"/>
    <w:rsid w:val="00F44BC2"/>
    <w:rsid w:val="00F96CD9"/>
    <w:rsid w:val="00FA42C4"/>
    <w:rsid w:val="00FE1D81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66EF"/>
  <w15:docId w15:val="{EAC81B9F-D74D-4F16-8D0C-622F1BC2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36F0"/>
  </w:style>
  <w:style w:type="paragraph" w:styleId="Titolo3">
    <w:name w:val="heading 3"/>
    <w:basedOn w:val="Normale"/>
    <w:link w:val="Titolo3Carattere"/>
    <w:uiPriority w:val="9"/>
    <w:qFormat/>
    <w:rsid w:val="00FA4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1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1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05FF"/>
    <w:pPr>
      <w:spacing w:after="160" w:line="259" w:lineRule="auto"/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D0E7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D0E77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42C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NormalHanging12a">
    <w:name w:val="NormalHanging12a"/>
    <w:basedOn w:val="Normale"/>
    <w:link w:val="NormalHanging12aChar"/>
    <w:rsid w:val="00524E2A"/>
    <w:pPr>
      <w:widowControl w:val="0"/>
      <w:spacing w:after="24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ormalHanging12aChar">
    <w:name w:val="NormalHanging12a Char"/>
    <w:basedOn w:val="Carpredefinitoparagrafo"/>
    <w:link w:val="NormalHanging12a"/>
    <w:locked/>
    <w:rsid w:val="00524E2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corpo">
    <w:name w:val="corpo"/>
    <w:basedOn w:val="Normale"/>
    <w:rsid w:val="00BD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2D5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3C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C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3CB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09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7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091"/>
  </w:style>
  <w:style w:type="paragraph" w:styleId="Pidipagina">
    <w:name w:val="footer"/>
    <w:basedOn w:val="Normale"/>
    <w:link w:val="PidipaginaCarattere"/>
    <w:uiPriority w:val="99"/>
    <w:unhideWhenUsed/>
    <w:rsid w:val="0037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vanorme.salute.gov.it/norme/renderPdf.spring?seriegu=SG&amp;datagu=24/03/2021&amp;redaz=21A01802&amp;artp=1&amp;art=1&amp;subart=1&amp;subart1=10&amp;vers=1&amp;prog=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lnordovest.toscana.it/guida-ai-servizi/6017-usca-unita-speciali-di-continuita-assistenzi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ovanorme.salute.gov.it/norme/renderPdf.spring?seriegu=SG&amp;datagu=24/03/2021&amp;redaz=21A01802&amp;artp=1&amp;art=1&amp;subart=1&amp;subart1=10&amp;vers=1&amp;prog=002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ss.it/documents/20126/0/Rapporto+ISS+COVID-19+61_2020.pdf/c2f4f7b5-68e9-849b-0071-f36d4560d83f?t=1603878366209" TargetMode="External"/><Relationship Id="rId2" Type="http://schemas.openxmlformats.org/officeDocument/2006/relationships/hyperlink" Target="https://www.iss.it/coronavirus/-/asset_publisher/1SRKHcCJJQ7E/content/csn%25C2%25B049-2020-covid-19-e-sindrome-di-down-mortalit%25C3%25A0-fino-a-10-volte-pi%25C3%25B9-elevata" TargetMode="External"/><Relationship Id="rId1" Type="http://schemas.openxmlformats.org/officeDocument/2006/relationships/hyperlink" Target="https://pubmed.ncbi.nlm.nih.gov/33660221/" TargetMode="External"/><Relationship Id="rId4" Type="http://schemas.openxmlformats.org/officeDocument/2006/relationships/hyperlink" Target="http://www.quotidianosanita.it/scienza-e-farmaci/articolo.php?articolo_id=9488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83F19-D2DE-4941-A7CB-106E4359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Tamburini Cristina</cp:lastModifiedBy>
  <cp:revision>2</cp:revision>
  <cp:lastPrinted>2021-04-23T17:54:00Z</cp:lastPrinted>
  <dcterms:created xsi:type="dcterms:W3CDTF">2021-11-25T20:09:00Z</dcterms:created>
  <dcterms:modified xsi:type="dcterms:W3CDTF">2021-11-25T20:09:00Z</dcterms:modified>
</cp:coreProperties>
</file>