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40EF1" w14:textId="0DC4D8AC" w:rsidR="005002F6" w:rsidRPr="002F1AAF" w:rsidRDefault="001D0D39" w:rsidP="002F1AAF">
      <w:pPr>
        <w:pStyle w:val="Titolo1"/>
        <w:rPr>
          <w:rFonts w:ascii="Times New Roman" w:hAnsi="Times New Roman" w:cs="Times New Roman"/>
          <w:b/>
          <w:bCs/>
          <w:color w:val="auto"/>
        </w:rPr>
      </w:pPr>
      <w:r w:rsidRPr="002F1AAF">
        <w:rPr>
          <w:rFonts w:ascii="Times New Roman" w:hAnsi="Times New Roman" w:cs="Times New Roman"/>
          <w:b/>
          <w:bCs/>
          <w:color w:val="auto"/>
        </w:rPr>
        <w:t xml:space="preserve">ALLEGATO C - </w:t>
      </w:r>
      <w:r w:rsidR="005002F6" w:rsidRPr="002F1AAF">
        <w:rPr>
          <w:rFonts w:ascii="Times New Roman" w:hAnsi="Times New Roman" w:cs="Times New Roman"/>
          <w:b/>
          <w:bCs/>
          <w:color w:val="auto"/>
        </w:rPr>
        <w:t xml:space="preserve">Vademecum per la compilazione dei </w:t>
      </w:r>
      <w:r w:rsidRPr="002F1AAF">
        <w:rPr>
          <w:rFonts w:ascii="Times New Roman" w:hAnsi="Times New Roman" w:cs="Times New Roman"/>
          <w:b/>
          <w:bCs/>
          <w:color w:val="auto"/>
        </w:rPr>
        <w:t>report</w:t>
      </w:r>
    </w:p>
    <w:p w14:paraId="654E0CB7" w14:textId="77777777" w:rsidR="005002F6" w:rsidRPr="001D0D39" w:rsidRDefault="005002F6" w:rsidP="001D0D39">
      <w:pPr>
        <w:spacing w:line="360" w:lineRule="auto"/>
        <w:jc w:val="both"/>
        <w:rPr>
          <w:rFonts w:ascii="Times New Roman" w:hAnsi="Times New Roman" w:cs="Times New Roman"/>
          <w:b/>
          <w:sz w:val="24"/>
          <w:szCs w:val="24"/>
        </w:rPr>
      </w:pPr>
    </w:p>
    <w:p w14:paraId="5C4CDB47" w14:textId="4360F17F" w:rsidR="001D0D39" w:rsidRPr="001D0D39" w:rsidRDefault="001D0D39" w:rsidP="001D0D39">
      <w:pPr>
        <w:spacing w:line="360" w:lineRule="auto"/>
        <w:jc w:val="both"/>
        <w:rPr>
          <w:rFonts w:ascii="Times New Roman" w:hAnsi="Times New Roman" w:cs="Times New Roman"/>
          <w:sz w:val="24"/>
          <w:szCs w:val="24"/>
        </w:rPr>
      </w:pPr>
      <w:r w:rsidRPr="001D0D39">
        <w:rPr>
          <w:rFonts w:ascii="Times New Roman" w:hAnsi="Times New Roman" w:cs="Times New Roman"/>
          <w:sz w:val="24"/>
          <w:szCs w:val="24"/>
        </w:rPr>
        <w:t>Allo scopo di facilitare la redazione del report previsionale e del report conclusivo, segnaliamo alcune indicazioni tecniche che</w:t>
      </w:r>
      <w:r>
        <w:rPr>
          <w:rFonts w:ascii="Times New Roman" w:hAnsi="Times New Roman" w:cs="Times New Roman"/>
          <w:sz w:val="24"/>
          <w:szCs w:val="24"/>
        </w:rPr>
        <w:t>,</w:t>
      </w:r>
      <w:r w:rsidRPr="001D0D39">
        <w:rPr>
          <w:rFonts w:ascii="Times New Roman" w:hAnsi="Times New Roman" w:cs="Times New Roman"/>
          <w:sz w:val="24"/>
          <w:szCs w:val="24"/>
        </w:rPr>
        <w:t xml:space="preserve"> con esempi tratti dal PNRR</w:t>
      </w:r>
      <w:r>
        <w:rPr>
          <w:rFonts w:ascii="Times New Roman" w:hAnsi="Times New Roman" w:cs="Times New Roman"/>
          <w:sz w:val="24"/>
          <w:szCs w:val="24"/>
        </w:rPr>
        <w:t>.</w:t>
      </w:r>
      <w:r w:rsidRPr="001D0D39">
        <w:rPr>
          <w:rFonts w:ascii="Times New Roman" w:hAnsi="Times New Roman" w:cs="Times New Roman"/>
          <w:sz w:val="24"/>
          <w:szCs w:val="24"/>
        </w:rPr>
        <w:t xml:space="preserve"> illustrano le tematiche al centro della direttiva. Nella direttiva</w:t>
      </w:r>
      <w:r w:rsidR="00EE16A1">
        <w:rPr>
          <w:rFonts w:ascii="Times New Roman" w:hAnsi="Times New Roman" w:cs="Times New Roman"/>
          <w:sz w:val="24"/>
          <w:szCs w:val="24"/>
        </w:rPr>
        <w:t>,</w:t>
      </w:r>
      <w:r w:rsidRPr="001D0D39">
        <w:rPr>
          <w:rFonts w:ascii="Times New Roman" w:hAnsi="Times New Roman" w:cs="Times New Roman"/>
          <w:sz w:val="24"/>
          <w:szCs w:val="24"/>
        </w:rPr>
        <w:t xml:space="preserve"> il monitoraggio riguarda </w:t>
      </w:r>
      <w:proofErr w:type="gramStart"/>
      <w:r w:rsidRPr="001D0D39">
        <w:rPr>
          <w:rFonts w:ascii="Times New Roman" w:hAnsi="Times New Roman" w:cs="Times New Roman"/>
          <w:sz w:val="24"/>
          <w:szCs w:val="24"/>
        </w:rPr>
        <w:t>4</w:t>
      </w:r>
      <w:proofErr w:type="gramEnd"/>
      <w:r w:rsidRPr="001D0D39">
        <w:rPr>
          <w:rFonts w:ascii="Times New Roman" w:hAnsi="Times New Roman" w:cs="Times New Roman"/>
          <w:sz w:val="24"/>
          <w:szCs w:val="24"/>
        </w:rPr>
        <w:t xml:space="preserve"> aree di principi da rispettare e una metodologia decisionale inclusiva.</w:t>
      </w:r>
    </w:p>
    <w:p w14:paraId="66E6CCBA" w14:textId="77777777" w:rsidR="005002F6" w:rsidRPr="001D0D39" w:rsidRDefault="005002F6" w:rsidP="001D0D39">
      <w:pPr>
        <w:spacing w:line="360" w:lineRule="auto"/>
        <w:jc w:val="both"/>
        <w:rPr>
          <w:rFonts w:ascii="Times New Roman" w:hAnsi="Times New Roman" w:cs="Times New Roman"/>
          <w:sz w:val="24"/>
          <w:szCs w:val="24"/>
        </w:rPr>
      </w:pPr>
    </w:p>
    <w:p w14:paraId="3F48E705" w14:textId="70AFD449" w:rsidR="005002F6" w:rsidRPr="00221896" w:rsidRDefault="005002F6" w:rsidP="001D0D39">
      <w:pPr>
        <w:pStyle w:val="Paragrafoelenco"/>
        <w:numPr>
          <w:ilvl w:val="0"/>
          <w:numId w:val="1"/>
        </w:numPr>
        <w:tabs>
          <w:tab w:val="left" w:pos="514"/>
        </w:tabs>
        <w:spacing w:line="360" w:lineRule="auto"/>
        <w:jc w:val="both"/>
        <w:rPr>
          <w:rFonts w:ascii="Times New Roman" w:hAnsi="Times New Roman" w:cs="Times New Roman"/>
          <w:b/>
          <w:bCs/>
          <w:i/>
          <w:iCs/>
          <w:sz w:val="28"/>
          <w:szCs w:val="28"/>
        </w:rPr>
      </w:pPr>
      <w:r w:rsidRPr="00221896">
        <w:rPr>
          <w:rFonts w:ascii="Times New Roman" w:hAnsi="Times New Roman" w:cs="Times New Roman"/>
          <w:b/>
          <w:bCs/>
          <w:i/>
          <w:iCs/>
          <w:sz w:val="28"/>
          <w:szCs w:val="28"/>
        </w:rPr>
        <w:t>Accessibilità</w:t>
      </w:r>
    </w:p>
    <w:p w14:paraId="6AD3706C" w14:textId="476F42EF" w:rsidR="005002F6" w:rsidRPr="001D0D39" w:rsidRDefault="005002F6" w:rsidP="001D0D39">
      <w:pPr>
        <w:spacing w:line="360" w:lineRule="auto"/>
        <w:jc w:val="both"/>
        <w:rPr>
          <w:rFonts w:ascii="Times New Roman" w:hAnsi="Times New Roman" w:cs="Times New Roman"/>
          <w:sz w:val="24"/>
          <w:szCs w:val="24"/>
        </w:rPr>
      </w:pPr>
      <w:r w:rsidRPr="001D0D39">
        <w:rPr>
          <w:rFonts w:ascii="Times New Roman" w:hAnsi="Times New Roman" w:cs="Times New Roman"/>
          <w:sz w:val="24"/>
          <w:szCs w:val="24"/>
        </w:rPr>
        <w:t>L’Italia ha una cospicua legislazione che riguarda tutte le aree dell’accessibilità. Questo significa che in tutte le 6 missioni del PNRR vi sono legislazioni nazionali ed europee da rispettare. Le aree interessate da questo monitoraggio riguardano: “</w:t>
      </w:r>
      <w:r w:rsidRPr="001D0D39">
        <w:rPr>
          <w:rFonts w:ascii="Times New Roman" w:eastAsia="Times New Roman" w:hAnsi="Times New Roman" w:cs="Times New Roman"/>
          <w:sz w:val="24"/>
          <w:szCs w:val="24"/>
          <w:lang w:eastAsia="it-IT"/>
        </w:rPr>
        <w:t>l’accesso all’ambiente fisico, ai trasporti, all’informazione e alla comunicazione, compresi i sistemi e le tecnologie di informazione e comunicazione, e ad altre attrezzature e servizi aperti o forniti al pubblico, sia nelle aree urbane che in quelle rurali” (art. 9 della CRPD). Quindi tutti i progetti devono “garantire alle persone con disabilità, su base di uguaglianza con gli altri” l’accessibilità e fruibilità delle attività previste.</w:t>
      </w:r>
    </w:p>
    <w:p w14:paraId="4C8CD59F" w14:textId="1E613D78" w:rsidR="005002F6" w:rsidRPr="001D0D39" w:rsidRDefault="005002F6" w:rsidP="001D0D39">
      <w:pPr>
        <w:pStyle w:val="Default"/>
        <w:spacing w:after="120" w:line="360" w:lineRule="auto"/>
        <w:jc w:val="both"/>
        <w:rPr>
          <w:rFonts w:ascii="Times New Roman" w:hAnsi="Times New Roman" w:cs="Times New Roman"/>
          <w:color w:val="auto"/>
          <w:u w:val="single"/>
        </w:rPr>
      </w:pPr>
      <w:r w:rsidRPr="001D0D39">
        <w:rPr>
          <w:rFonts w:ascii="Times New Roman" w:hAnsi="Times New Roman" w:cs="Times New Roman"/>
          <w:color w:val="auto"/>
        </w:rPr>
        <w:t xml:space="preserve">Per fare alcuni esempi prendiamo la missione </w:t>
      </w:r>
      <w:r w:rsidR="001D0D39" w:rsidRPr="001D0D39">
        <w:rPr>
          <w:rFonts w:ascii="Times New Roman" w:hAnsi="Times New Roman" w:cs="Times New Roman"/>
          <w:color w:val="auto"/>
        </w:rPr>
        <w:t>M</w:t>
      </w:r>
      <w:r w:rsidRPr="001D0D39">
        <w:rPr>
          <w:rFonts w:ascii="Times New Roman" w:hAnsi="Times New Roman" w:cs="Times New Roman"/>
          <w:color w:val="auto"/>
        </w:rPr>
        <w:t xml:space="preserve">1C1 “investimenti in materia di </w:t>
      </w:r>
      <w:r w:rsidRPr="00221896">
        <w:rPr>
          <w:rFonts w:ascii="Times New Roman" w:hAnsi="Times New Roman" w:cs="Times New Roman"/>
          <w:b/>
          <w:bCs/>
          <w:color w:val="auto"/>
        </w:rPr>
        <w:t>cittadinanza digitale e digitalizzazione della PA</w:t>
      </w:r>
      <w:r w:rsidRPr="001D0D39">
        <w:rPr>
          <w:rFonts w:ascii="Times New Roman" w:hAnsi="Times New Roman" w:cs="Times New Roman"/>
          <w:color w:val="auto"/>
        </w:rPr>
        <w:t>”. L’Italia di recente ha recepito le direttive europee in materia di accessibilità e fruibilità dei prodotti digitali attraverso le linee guida dell’AGID sull’accessibilità degli strumenti informatici del 26/11/2019 (</w:t>
      </w:r>
      <w:hyperlink r:id="rId8" w:history="1">
        <w:r w:rsidRPr="001D0D39">
          <w:rPr>
            <w:rStyle w:val="Collegamentoipertestuale"/>
            <w:rFonts w:ascii="Times New Roman" w:hAnsi="Times New Roman" w:cs="Times New Roman"/>
            <w:color w:val="auto"/>
          </w:rPr>
          <w:t>https://www.agid.gov.it/it/linee-guida</w:t>
        </w:r>
      </w:hyperlink>
      <w:r w:rsidRPr="001D0D39">
        <w:rPr>
          <w:rFonts w:ascii="Times New Roman" w:hAnsi="Times New Roman" w:cs="Times New Roman"/>
          <w:color w:val="auto"/>
        </w:rPr>
        <w:t>). In tali linee guida vengono definiti gli obblighi tecnici da rispettare per garantire l’accessibilità e fruibilità dei siti web, i formati accessibili da rispettare per i documenti, le app ed ogni altro prodotto digitale, le dotazioni delle postazioni di lavoro per le persone con disabilità da rispettare, anche nelle gare d’appalto, etc. I progetti finanziati dovranno rispettare questa normativa, dichiarando nel r</w:t>
      </w:r>
      <w:r w:rsidR="001D0D39">
        <w:rPr>
          <w:rFonts w:ascii="Times New Roman" w:hAnsi="Times New Roman" w:cs="Times New Roman"/>
          <w:color w:val="auto"/>
        </w:rPr>
        <w:t>eport</w:t>
      </w:r>
      <w:r w:rsidRPr="001D0D39">
        <w:rPr>
          <w:rFonts w:ascii="Times New Roman" w:hAnsi="Times New Roman" w:cs="Times New Roman"/>
          <w:color w:val="auto"/>
        </w:rPr>
        <w:t xml:space="preserve"> iniziale le aree di attività interessate ed il rispetto delle norme di riferimento. Lo stesso vale nell’ambito della riforma della giustizia tributaria dove si sottolinea che va garantito “un migliore accesso alle fonti giurisprudenziali mediante il perfezionamento delle piattaforme tecnologiche e la loro piena accessibilità da parte del pubblico”. Anche per la semplificazione e razionalizzazione della legislazione viene indicato con l’obiettivo di “migliorare l’efficacia e la qualità della regolazione, assumono rilievo prioritario misure relative (…)  Ad assicurare maggiore chiarezza, comprensibilità e accessibilità della normazione”.</w:t>
      </w:r>
    </w:p>
    <w:p w14:paraId="51EC0E4D" w14:textId="47C7F12C" w:rsidR="005002F6" w:rsidRPr="001D0D39" w:rsidRDefault="005002F6" w:rsidP="001D0D39">
      <w:pPr>
        <w:spacing w:line="360" w:lineRule="auto"/>
        <w:jc w:val="both"/>
        <w:rPr>
          <w:rFonts w:ascii="Times New Roman" w:hAnsi="Times New Roman" w:cs="Times New Roman"/>
          <w:sz w:val="24"/>
          <w:szCs w:val="24"/>
        </w:rPr>
      </w:pPr>
      <w:r w:rsidRPr="001D0D39">
        <w:rPr>
          <w:rFonts w:ascii="Times New Roman" w:hAnsi="Times New Roman" w:cs="Times New Roman"/>
          <w:sz w:val="24"/>
          <w:szCs w:val="24"/>
        </w:rPr>
        <w:lastRenderedPageBreak/>
        <w:t xml:space="preserve">Altro esempio riguarda le attività legate al </w:t>
      </w:r>
      <w:r w:rsidRPr="00221896">
        <w:rPr>
          <w:rFonts w:ascii="Times New Roman" w:hAnsi="Times New Roman" w:cs="Times New Roman"/>
          <w:b/>
          <w:bCs/>
          <w:sz w:val="24"/>
          <w:szCs w:val="24"/>
        </w:rPr>
        <w:t>turismo e la cultura</w:t>
      </w:r>
      <w:r w:rsidRPr="001D0D39">
        <w:rPr>
          <w:rFonts w:ascii="Times New Roman" w:hAnsi="Times New Roman" w:cs="Times New Roman"/>
          <w:sz w:val="24"/>
          <w:szCs w:val="24"/>
        </w:rPr>
        <w:t xml:space="preserve"> (M1C3), che dovranno</w:t>
      </w:r>
      <w:r w:rsidR="001D0D39">
        <w:rPr>
          <w:rFonts w:ascii="Times New Roman" w:hAnsi="Times New Roman" w:cs="Times New Roman"/>
          <w:sz w:val="24"/>
          <w:szCs w:val="24"/>
        </w:rPr>
        <w:t xml:space="preserve">, </w:t>
      </w:r>
      <w:r w:rsidRPr="001D0D39">
        <w:rPr>
          <w:rFonts w:ascii="Times New Roman" w:hAnsi="Times New Roman" w:cs="Times New Roman"/>
          <w:sz w:val="24"/>
          <w:szCs w:val="24"/>
        </w:rPr>
        <w:t>come indicato nel capitolo relativo del PNRR</w:t>
      </w:r>
      <w:r w:rsidR="001D0D39">
        <w:rPr>
          <w:rFonts w:ascii="Times New Roman" w:hAnsi="Times New Roman" w:cs="Times New Roman"/>
          <w:sz w:val="24"/>
          <w:szCs w:val="24"/>
        </w:rPr>
        <w:t>, “m</w:t>
      </w:r>
      <w:r w:rsidRPr="001D0D39">
        <w:rPr>
          <w:rFonts w:ascii="Times New Roman" w:hAnsi="Times New Roman" w:cs="Times New Roman"/>
          <w:sz w:val="24"/>
          <w:szCs w:val="24"/>
        </w:rPr>
        <w:t xml:space="preserve">igliorare la fruibilità della cultura e l’accessibilità turistica attraverso investimenti digitali e investimenti volti alla rimozione delle barriere fisiche e cognitive al patrimonio”. Stiamo parlando sia delle strutture turistiche pubbliche che private, sia dei luoghi e centri di interesse culturale, quali musei, siti archeologici, centri culturali, archivi, biblioteche, </w:t>
      </w:r>
      <w:proofErr w:type="gramStart"/>
      <w:r w:rsidRPr="001D0D39">
        <w:rPr>
          <w:rFonts w:ascii="Times New Roman" w:hAnsi="Times New Roman" w:cs="Times New Roman"/>
          <w:sz w:val="24"/>
          <w:szCs w:val="24"/>
        </w:rPr>
        <w:t>etc..</w:t>
      </w:r>
      <w:proofErr w:type="gramEnd"/>
      <w:r w:rsidRPr="001D0D39">
        <w:rPr>
          <w:rFonts w:ascii="Times New Roman" w:hAnsi="Times New Roman" w:cs="Times New Roman"/>
          <w:sz w:val="24"/>
          <w:szCs w:val="24"/>
        </w:rPr>
        <w:t xml:space="preserve"> Lo stesso principio vale per interventi nelle piattaforme digitali che modernizzano il sistema turistico, per quelle azioni che vengono messe in atto per la valorizzazione dei borghi, la rigenerazione di piccoli siti culturali, parchi e giardini storici, luoghi di culto e così via.</w:t>
      </w:r>
    </w:p>
    <w:p w14:paraId="67ED7C22" w14:textId="48001A43" w:rsidR="005002F6" w:rsidRPr="001D0D39" w:rsidRDefault="005002F6" w:rsidP="001D0D39">
      <w:pPr>
        <w:spacing w:line="360" w:lineRule="auto"/>
        <w:jc w:val="both"/>
        <w:rPr>
          <w:rFonts w:ascii="Times New Roman" w:hAnsi="Times New Roman" w:cs="Times New Roman"/>
          <w:sz w:val="24"/>
          <w:szCs w:val="24"/>
        </w:rPr>
      </w:pPr>
      <w:r w:rsidRPr="001D0D39">
        <w:rPr>
          <w:rFonts w:ascii="Times New Roman" w:hAnsi="Times New Roman" w:cs="Times New Roman"/>
          <w:sz w:val="24"/>
          <w:szCs w:val="24"/>
        </w:rPr>
        <w:t>Segnaliamo che il Ministero dei beni culturali nel 2008 ha approvato le linee guida per il superamento delle barriere architettoniche nei luoghi di interesse culturale (</w:t>
      </w:r>
      <w:hyperlink r:id="rId9" w:history="1">
        <w:r w:rsidRPr="001D0D39">
          <w:rPr>
            <w:rStyle w:val="Collegamentoipertestuale"/>
            <w:rFonts w:ascii="Times New Roman" w:hAnsi="Times New Roman" w:cs="Times New Roman"/>
            <w:color w:val="auto"/>
            <w:sz w:val="24"/>
            <w:szCs w:val="24"/>
          </w:rPr>
          <w:t>http://musei.beniculturali.it/progetti/ad-arte</w:t>
        </w:r>
      </w:hyperlink>
      <w:r w:rsidRPr="001D0D39">
        <w:rPr>
          <w:rFonts w:ascii="Times New Roman" w:hAnsi="Times New Roman" w:cs="Times New Roman"/>
          <w:sz w:val="24"/>
          <w:szCs w:val="24"/>
        </w:rPr>
        <w:t>) e le linee guida per la progettazione di interventi di rimozione delle barriere architettoniche sui siti culturali (2017). Per le strutture turistiche private, anche esse soggette a vincoli normativi per il rilascio all’autorizzazione all’apertura dei servizi e di interventi edilizi e tecnologici di modernizzazione ed adeguamento, si fa riferimento alle nome contenute nella scheda dell</w:t>
      </w:r>
      <w:r w:rsidR="00C20556" w:rsidRPr="001D0D39">
        <w:rPr>
          <w:rFonts w:ascii="Times New Roman" w:hAnsi="Times New Roman" w:cs="Times New Roman"/>
          <w:sz w:val="24"/>
          <w:szCs w:val="24"/>
        </w:rPr>
        <w:t>a lista delle norme di accessibilità e fruibilità</w:t>
      </w:r>
      <w:r w:rsidRPr="001D0D39">
        <w:rPr>
          <w:rFonts w:ascii="Times New Roman" w:hAnsi="Times New Roman" w:cs="Times New Roman"/>
          <w:sz w:val="24"/>
          <w:szCs w:val="24"/>
        </w:rPr>
        <w:t xml:space="preserve"> (in particolare l’art. 24 della legge 104/92).</w:t>
      </w:r>
    </w:p>
    <w:p w14:paraId="1CC00E3A" w14:textId="77777777" w:rsidR="005002F6" w:rsidRPr="001D0D39" w:rsidRDefault="005002F6" w:rsidP="001D0D39">
      <w:pPr>
        <w:spacing w:line="360" w:lineRule="auto"/>
        <w:jc w:val="both"/>
        <w:rPr>
          <w:rFonts w:ascii="Times New Roman" w:hAnsi="Times New Roman" w:cs="Times New Roman"/>
          <w:sz w:val="24"/>
          <w:szCs w:val="24"/>
          <w:u w:val="single"/>
        </w:rPr>
      </w:pPr>
      <w:r w:rsidRPr="001D0D39">
        <w:rPr>
          <w:rFonts w:ascii="Times New Roman" w:hAnsi="Times New Roman" w:cs="Times New Roman"/>
          <w:sz w:val="24"/>
          <w:szCs w:val="24"/>
        </w:rPr>
        <w:t xml:space="preserve">Il rispetto della stessa legislazione vale per gli interventi in </w:t>
      </w:r>
      <w:r w:rsidRPr="00221896">
        <w:rPr>
          <w:rFonts w:ascii="Times New Roman" w:hAnsi="Times New Roman" w:cs="Times New Roman"/>
          <w:b/>
          <w:bCs/>
          <w:sz w:val="24"/>
          <w:szCs w:val="24"/>
        </w:rPr>
        <w:t>ambito educativo, di orientamento e sportivo</w:t>
      </w:r>
      <w:r w:rsidRPr="001D0D39">
        <w:rPr>
          <w:rFonts w:ascii="Times New Roman" w:hAnsi="Times New Roman" w:cs="Times New Roman"/>
          <w:sz w:val="24"/>
          <w:szCs w:val="24"/>
        </w:rPr>
        <w:t>, sia per le strutture che ospitano scuole e centri di formazione, sia per le dotazioni tecnologiche quali piattaforme comunicative, siti web, app, postazioni di lavoro per le persone con disabilità, etc.</w:t>
      </w:r>
    </w:p>
    <w:p w14:paraId="0EEE93CD" w14:textId="77777777" w:rsidR="005002F6" w:rsidRPr="001D0D39" w:rsidRDefault="005002F6" w:rsidP="001D0D39">
      <w:pPr>
        <w:spacing w:line="360" w:lineRule="auto"/>
        <w:jc w:val="both"/>
        <w:rPr>
          <w:rFonts w:ascii="Times New Roman" w:hAnsi="Times New Roman" w:cs="Times New Roman"/>
          <w:sz w:val="24"/>
          <w:szCs w:val="24"/>
        </w:rPr>
      </w:pPr>
      <w:r w:rsidRPr="001D0D39">
        <w:rPr>
          <w:rFonts w:ascii="Times New Roman" w:hAnsi="Times New Roman" w:cs="Times New Roman"/>
          <w:sz w:val="24"/>
          <w:szCs w:val="24"/>
        </w:rPr>
        <w:t xml:space="preserve">Egualmente per i </w:t>
      </w:r>
      <w:r w:rsidRPr="00221896">
        <w:rPr>
          <w:rFonts w:ascii="Times New Roman" w:hAnsi="Times New Roman" w:cs="Times New Roman"/>
          <w:b/>
          <w:bCs/>
          <w:sz w:val="24"/>
          <w:szCs w:val="24"/>
        </w:rPr>
        <w:t>servizi sanitari</w:t>
      </w:r>
      <w:r w:rsidRPr="001D0D39">
        <w:rPr>
          <w:rFonts w:ascii="Times New Roman" w:hAnsi="Times New Roman" w:cs="Times New Roman"/>
          <w:sz w:val="24"/>
          <w:szCs w:val="24"/>
        </w:rPr>
        <w:t xml:space="preserve"> in presenza e a distanza, dove l’accessibilità e la fruibilità dei servizi è un requisito essenziale da rispettare perché ne possano beneficiare le persone con disabilità.</w:t>
      </w:r>
    </w:p>
    <w:p w14:paraId="74B185F2" w14:textId="08FEBD5F" w:rsidR="005002F6" w:rsidRPr="001D0D39" w:rsidRDefault="005002F6" w:rsidP="001D0D39">
      <w:pPr>
        <w:pStyle w:val="NormaleWeb"/>
        <w:spacing w:line="360" w:lineRule="auto"/>
        <w:jc w:val="both"/>
      </w:pPr>
      <w:r w:rsidRPr="001D0D39">
        <w:t xml:space="preserve">Anche i </w:t>
      </w:r>
      <w:r w:rsidRPr="00221896">
        <w:rPr>
          <w:b/>
          <w:bCs/>
        </w:rPr>
        <w:t>servizi di trasporto locale sostenibile</w:t>
      </w:r>
      <w:r w:rsidRPr="001D0D39">
        <w:t xml:space="preserve"> (missione 3) devono rispettare la direttiva europea 85/2001 (recepita con il D.M. 20 giugno 2003), che obbliga le amministrazioni pubbliche a garantire mezzi di trasporto accessibili in tutti i servizi urbani e laddove è possibile su tutti i mezzi di trasporto extra urbano.</w:t>
      </w:r>
      <w:r w:rsidR="00221896">
        <w:t xml:space="preserve"> </w:t>
      </w:r>
      <w:r w:rsidRPr="001D0D39">
        <w:t>Nel punto di investimento 1.8 si fa specifico riferimento al rispetto dell’accessibilità nelle stazioni ferroviarie (missione 4), elemento importante per ampliare la mobilità per tutti su tutto il territorio nazionale.</w:t>
      </w:r>
    </w:p>
    <w:p w14:paraId="596C94D1" w14:textId="77777777" w:rsidR="005002F6" w:rsidRPr="001D0D39" w:rsidRDefault="005002F6" w:rsidP="001D0D39">
      <w:pPr>
        <w:pStyle w:val="NormaleWeb"/>
        <w:spacing w:line="360" w:lineRule="auto"/>
        <w:jc w:val="both"/>
      </w:pPr>
      <w:r w:rsidRPr="001D0D39">
        <w:t>Va segnalato che nel caso di non rispetto del principio di accessibilità e fruibilità in eguaglianza di opportunità con gli altri cittadini si è soggetti a possibili denunce per discriminazione (legge 67/2006).</w:t>
      </w:r>
    </w:p>
    <w:p w14:paraId="3595F22A" w14:textId="18946BAB" w:rsidR="005002F6" w:rsidRDefault="005002F6" w:rsidP="001D0D39">
      <w:pPr>
        <w:pStyle w:val="NormaleWeb"/>
        <w:spacing w:line="360" w:lineRule="auto"/>
        <w:jc w:val="both"/>
      </w:pPr>
    </w:p>
    <w:p w14:paraId="10F33AFE" w14:textId="77777777" w:rsidR="00221896" w:rsidRPr="001D0D39" w:rsidRDefault="00221896" w:rsidP="001D0D39">
      <w:pPr>
        <w:pStyle w:val="NormaleWeb"/>
        <w:spacing w:line="360" w:lineRule="auto"/>
        <w:jc w:val="both"/>
      </w:pPr>
    </w:p>
    <w:p w14:paraId="5477FFBC" w14:textId="7A2B4AC9" w:rsidR="005002F6" w:rsidRPr="00221896" w:rsidRDefault="005002F6" w:rsidP="00221896">
      <w:pPr>
        <w:pStyle w:val="Paragrafoelenco"/>
        <w:numPr>
          <w:ilvl w:val="0"/>
          <w:numId w:val="1"/>
        </w:numPr>
        <w:spacing w:line="360" w:lineRule="auto"/>
        <w:jc w:val="both"/>
        <w:rPr>
          <w:rFonts w:ascii="Times New Roman" w:hAnsi="Times New Roman" w:cs="Times New Roman"/>
          <w:b/>
          <w:bCs/>
          <w:i/>
          <w:iCs/>
          <w:sz w:val="28"/>
          <w:szCs w:val="28"/>
        </w:rPr>
      </w:pPr>
      <w:r w:rsidRPr="00221896">
        <w:rPr>
          <w:rFonts w:ascii="Times New Roman" w:hAnsi="Times New Roman" w:cs="Times New Roman"/>
          <w:b/>
          <w:bCs/>
          <w:i/>
          <w:iCs/>
          <w:sz w:val="28"/>
          <w:szCs w:val="28"/>
        </w:rPr>
        <w:t xml:space="preserve">Progettazione universale (“Design for </w:t>
      </w:r>
      <w:proofErr w:type="spellStart"/>
      <w:r w:rsidRPr="00221896">
        <w:rPr>
          <w:rFonts w:ascii="Times New Roman" w:hAnsi="Times New Roman" w:cs="Times New Roman"/>
          <w:b/>
          <w:bCs/>
          <w:i/>
          <w:iCs/>
          <w:sz w:val="28"/>
          <w:szCs w:val="28"/>
        </w:rPr>
        <w:t>All</w:t>
      </w:r>
      <w:proofErr w:type="spellEnd"/>
      <w:r w:rsidRPr="00221896">
        <w:rPr>
          <w:rFonts w:ascii="Times New Roman" w:hAnsi="Times New Roman" w:cs="Times New Roman"/>
          <w:b/>
          <w:bCs/>
          <w:i/>
          <w:iCs/>
          <w:sz w:val="28"/>
          <w:szCs w:val="28"/>
        </w:rPr>
        <w:t>”)</w:t>
      </w:r>
    </w:p>
    <w:p w14:paraId="1A9ABE45" w14:textId="6FFCC8CA" w:rsidR="005002F6" w:rsidRPr="001D0D39" w:rsidRDefault="005002F6" w:rsidP="001D0D39">
      <w:pPr>
        <w:spacing w:line="360" w:lineRule="auto"/>
        <w:jc w:val="both"/>
        <w:rPr>
          <w:rFonts w:ascii="Times New Roman" w:hAnsi="Times New Roman" w:cs="Times New Roman"/>
          <w:sz w:val="24"/>
          <w:szCs w:val="24"/>
        </w:rPr>
      </w:pPr>
      <w:r w:rsidRPr="001D0D39">
        <w:rPr>
          <w:rFonts w:ascii="Times New Roman" w:hAnsi="Times New Roman" w:cs="Times New Roman"/>
          <w:sz w:val="24"/>
          <w:szCs w:val="24"/>
        </w:rPr>
        <w:t>Un elemento essenziale degli interventi relativi alle costruzioni di nuovi edifici e strutture che ospitano servizi pubblici o aperti al pubblico o ambienti ristrutturati sono i criteri di accessibilità e fruibilità di spazi, ambienti e dotazioni largamente normati nella legislazione nazionale ed europea. La legislazione italiana regola sia gli edifici privati (legge 13/1989 e relativo DM 236/89) che quelli pubblici (DPR 503/96 attraverso lo stesso DM 236/89). In questa direzione vanno applicate le norme di cui all</w:t>
      </w:r>
      <w:r w:rsidR="00C20556" w:rsidRPr="001D0D39">
        <w:rPr>
          <w:rFonts w:ascii="Times New Roman" w:hAnsi="Times New Roman" w:cs="Times New Roman"/>
          <w:sz w:val="24"/>
          <w:szCs w:val="24"/>
        </w:rPr>
        <w:t>a lista delle norme su accessibilità e fruibilità</w:t>
      </w:r>
      <w:r w:rsidRPr="001D0D39">
        <w:rPr>
          <w:rFonts w:ascii="Times New Roman" w:hAnsi="Times New Roman" w:cs="Times New Roman"/>
          <w:sz w:val="24"/>
          <w:szCs w:val="24"/>
        </w:rPr>
        <w:t>.</w:t>
      </w:r>
    </w:p>
    <w:p w14:paraId="3D8210EB" w14:textId="1732D89D" w:rsidR="005002F6" w:rsidRPr="001D0D39" w:rsidRDefault="005002F6" w:rsidP="001D0D39">
      <w:pPr>
        <w:spacing w:line="360" w:lineRule="auto"/>
        <w:jc w:val="both"/>
        <w:rPr>
          <w:rFonts w:ascii="Times New Roman" w:hAnsi="Times New Roman" w:cs="Times New Roman"/>
          <w:sz w:val="24"/>
          <w:szCs w:val="24"/>
        </w:rPr>
      </w:pPr>
      <w:r w:rsidRPr="001D0D39">
        <w:rPr>
          <w:rFonts w:ascii="Times New Roman" w:hAnsi="Times New Roman" w:cs="Times New Roman"/>
          <w:sz w:val="24"/>
          <w:szCs w:val="24"/>
        </w:rPr>
        <w:t>Facendo alcuni esempi</w:t>
      </w:r>
      <w:r w:rsidR="00221896">
        <w:rPr>
          <w:rFonts w:ascii="Times New Roman" w:hAnsi="Times New Roman" w:cs="Times New Roman"/>
          <w:sz w:val="24"/>
          <w:szCs w:val="24"/>
        </w:rPr>
        <w:t>,</w:t>
      </w:r>
      <w:r w:rsidRPr="001D0D39">
        <w:rPr>
          <w:rFonts w:ascii="Times New Roman" w:hAnsi="Times New Roman" w:cs="Times New Roman"/>
          <w:sz w:val="24"/>
          <w:szCs w:val="24"/>
        </w:rPr>
        <w:t xml:space="preserve"> la costruzione delle </w:t>
      </w:r>
      <w:r w:rsidRPr="00221896">
        <w:rPr>
          <w:rFonts w:ascii="Times New Roman" w:hAnsi="Times New Roman" w:cs="Times New Roman"/>
          <w:b/>
          <w:bCs/>
          <w:sz w:val="24"/>
          <w:szCs w:val="24"/>
        </w:rPr>
        <w:t>case della comunità e degli ospedali della comunità</w:t>
      </w:r>
      <w:r w:rsidRPr="001D0D39">
        <w:rPr>
          <w:rFonts w:ascii="Times New Roman" w:hAnsi="Times New Roman" w:cs="Times New Roman"/>
          <w:sz w:val="24"/>
          <w:szCs w:val="24"/>
        </w:rPr>
        <w:t>, previste dalla missione 6 all’investimento 1.1, devono rispettare le norme sopra citate di progettazione universale, accessibili e fruibili a tutti i cittadini italiani e stranieri. Lo stesso vale per qualsiasi intervento di ristrutturazione e adeguamento finanziato con fondi pubblici su edifici pubblici o aperti al pubblico (L 104/92). Quindi anche gli interventi sui beni</w:t>
      </w:r>
      <w:r w:rsidR="00C20556" w:rsidRPr="001D0D39">
        <w:rPr>
          <w:rFonts w:ascii="Times New Roman" w:hAnsi="Times New Roman" w:cs="Times New Roman"/>
          <w:sz w:val="24"/>
          <w:szCs w:val="24"/>
        </w:rPr>
        <w:t xml:space="preserve"> culturali privati</w:t>
      </w:r>
      <w:r w:rsidRPr="001D0D39">
        <w:rPr>
          <w:rFonts w:ascii="Times New Roman" w:hAnsi="Times New Roman" w:cs="Times New Roman"/>
          <w:sz w:val="24"/>
          <w:szCs w:val="24"/>
        </w:rPr>
        <w:t xml:space="preserve"> (archivi, biblioteche, musei, pinacoteche, siti archeologici, attività culturali, etc.).</w:t>
      </w:r>
    </w:p>
    <w:p w14:paraId="41CFD586" w14:textId="441BFD86" w:rsidR="005002F6" w:rsidRPr="001D0D39" w:rsidRDefault="005002F6" w:rsidP="001D0D39">
      <w:pPr>
        <w:spacing w:line="360" w:lineRule="auto"/>
        <w:jc w:val="both"/>
        <w:rPr>
          <w:rFonts w:ascii="Times New Roman" w:hAnsi="Times New Roman" w:cs="Times New Roman"/>
          <w:sz w:val="24"/>
          <w:szCs w:val="24"/>
        </w:rPr>
      </w:pPr>
      <w:r w:rsidRPr="001D0D39">
        <w:rPr>
          <w:rFonts w:ascii="Times New Roman" w:hAnsi="Times New Roman" w:cs="Times New Roman"/>
          <w:sz w:val="24"/>
          <w:szCs w:val="24"/>
        </w:rPr>
        <w:t xml:space="preserve">La progettazione universale si applica tutti i prodotti sia architettonici (edifici, arredo urbano, servizi pubblici o aperti al pubblico) </w:t>
      </w:r>
      <w:r w:rsidR="00221896">
        <w:rPr>
          <w:rFonts w:ascii="Times New Roman" w:hAnsi="Times New Roman" w:cs="Times New Roman"/>
          <w:sz w:val="24"/>
          <w:szCs w:val="24"/>
        </w:rPr>
        <w:t>che</w:t>
      </w:r>
      <w:r w:rsidRPr="001D0D39">
        <w:rPr>
          <w:rFonts w:ascii="Times New Roman" w:hAnsi="Times New Roman" w:cs="Times New Roman"/>
          <w:sz w:val="24"/>
          <w:szCs w:val="24"/>
        </w:rPr>
        <w:t xml:space="preserve"> informatici e digitali (siti web, app, produzione di documenti).</w:t>
      </w:r>
    </w:p>
    <w:p w14:paraId="5D3F3A76" w14:textId="77777777" w:rsidR="005002F6" w:rsidRPr="001D0D39" w:rsidRDefault="005002F6" w:rsidP="001D0D39">
      <w:pPr>
        <w:spacing w:line="360" w:lineRule="auto"/>
        <w:jc w:val="both"/>
        <w:rPr>
          <w:rFonts w:ascii="Times New Roman" w:hAnsi="Times New Roman" w:cs="Times New Roman"/>
          <w:sz w:val="24"/>
          <w:szCs w:val="24"/>
        </w:rPr>
      </w:pPr>
      <w:r w:rsidRPr="001D0D39">
        <w:rPr>
          <w:rFonts w:ascii="Times New Roman" w:hAnsi="Times New Roman" w:cs="Times New Roman"/>
          <w:sz w:val="24"/>
          <w:szCs w:val="24"/>
        </w:rPr>
        <w:t xml:space="preserve">Gli interventi </w:t>
      </w:r>
      <w:r w:rsidRPr="00221896">
        <w:rPr>
          <w:rFonts w:ascii="Times New Roman" w:hAnsi="Times New Roman" w:cs="Times New Roman"/>
          <w:b/>
          <w:bCs/>
          <w:sz w:val="24"/>
          <w:szCs w:val="24"/>
        </w:rPr>
        <w:t>di costruzione o ristrutturazione di immobili esistenti</w:t>
      </w:r>
      <w:r w:rsidRPr="001D0D39">
        <w:rPr>
          <w:rFonts w:ascii="Times New Roman" w:hAnsi="Times New Roman" w:cs="Times New Roman"/>
          <w:sz w:val="24"/>
          <w:szCs w:val="24"/>
        </w:rPr>
        <w:t xml:space="preserve"> (pubblici o privati), destinati a persone con gravi disabilità o da anziani non autosufficienti, previsti nella missione </w:t>
      </w:r>
      <w:proofErr w:type="gramStart"/>
      <w:r w:rsidRPr="001D0D39">
        <w:rPr>
          <w:rFonts w:ascii="Times New Roman" w:hAnsi="Times New Roman" w:cs="Times New Roman"/>
          <w:sz w:val="24"/>
          <w:szCs w:val="24"/>
        </w:rPr>
        <w:t>5</w:t>
      </w:r>
      <w:proofErr w:type="gramEnd"/>
      <w:r w:rsidRPr="001D0D39">
        <w:rPr>
          <w:rFonts w:ascii="Times New Roman" w:hAnsi="Times New Roman" w:cs="Times New Roman"/>
          <w:sz w:val="24"/>
          <w:szCs w:val="24"/>
        </w:rPr>
        <w:t xml:space="preserve"> del PNRR, come gli altri interventi di rigenerazione con importanti ricadute sulla riqualificazione dei tessuti urbani più vulnerabili (periferie, aree interne del Paese), devono basarsi sui principi della progettazione universale.</w:t>
      </w:r>
    </w:p>
    <w:p w14:paraId="5DB2B754" w14:textId="77777777" w:rsidR="005002F6" w:rsidRPr="001D0D39" w:rsidRDefault="005002F6" w:rsidP="001D0D39">
      <w:pPr>
        <w:spacing w:line="360" w:lineRule="auto"/>
        <w:jc w:val="both"/>
        <w:rPr>
          <w:rFonts w:ascii="Times New Roman" w:hAnsi="Times New Roman" w:cs="Times New Roman"/>
          <w:sz w:val="24"/>
          <w:szCs w:val="24"/>
        </w:rPr>
      </w:pPr>
      <w:r w:rsidRPr="001D0D39">
        <w:rPr>
          <w:rFonts w:ascii="Times New Roman" w:hAnsi="Times New Roman" w:cs="Times New Roman"/>
          <w:sz w:val="24"/>
          <w:szCs w:val="24"/>
        </w:rPr>
        <w:t xml:space="preserve">Particolare attenzione va pestata alla </w:t>
      </w:r>
      <w:r w:rsidRPr="00221896">
        <w:rPr>
          <w:rFonts w:ascii="Times New Roman" w:hAnsi="Times New Roman" w:cs="Times New Roman"/>
          <w:b/>
          <w:bCs/>
          <w:sz w:val="24"/>
          <w:szCs w:val="24"/>
        </w:rPr>
        <w:t>comunicazione pubblica</w:t>
      </w:r>
      <w:r w:rsidRPr="001D0D39">
        <w:rPr>
          <w:rFonts w:ascii="Times New Roman" w:hAnsi="Times New Roman" w:cs="Times New Roman"/>
          <w:sz w:val="24"/>
          <w:szCs w:val="24"/>
        </w:rPr>
        <w:t>, che anch’essa deve essere accessibile e fruibile a tutti (sotto titolature, interpreti della lingua dei segni, documenti in formati accessibili, etc.).</w:t>
      </w:r>
    </w:p>
    <w:p w14:paraId="2C2FF206" w14:textId="77777777" w:rsidR="005002F6" w:rsidRPr="001D0D39" w:rsidRDefault="005002F6" w:rsidP="001D0D39">
      <w:pPr>
        <w:spacing w:line="360" w:lineRule="auto"/>
        <w:jc w:val="both"/>
        <w:rPr>
          <w:rFonts w:ascii="Times New Roman" w:hAnsi="Times New Roman" w:cs="Times New Roman"/>
          <w:sz w:val="24"/>
          <w:szCs w:val="24"/>
        </w:rPr>
      </w:pPr>
    </w:p>
    <w:p w14:paraId="4664A838" w14:textId="63BC2508" w:rsidR="005002F6" w:rsidRPr="00221896" w:rsidRDefault="005002F6" w:rsidP="00221896">
      <w:pPr>
        <w:pStyle w:val="Paragrafoelenco"/>
        <w:numPr>
          <w:ilvl w:val="0"/>
          <w:numId w:val="1"/>
        </w:numPr>
        <w:spacing w:line="360" w:lineRule="auto"/>
        <w:jc w:val="both"/>
        <w:rPr>
          <w:rFonts w:ascii="Times New Roman" w:hAnsi="Times New Roman" w:cs="Times New Roman"/>
          <w:b/>
          <w:bCs/>
          <w:i/>
          <w:iCs/>
          <w:sz w:val="28"/>
          <w:szCs w:val="28"/>
        </w:rPr>
      </w:pPr>
      <w:r w:rsidRPr="00221896">
        <w:rPr>
          <w:rFonts w:ascii="Times New Roman" w:hAnsi="Times New Roman" w:cs="Times New Roman"/>
          <w:b/>
          <w:bCs/>
          <w:i/>
          <w:iCs/>
          <w:sz w:val="28"/>
          <w:szCs w:val="28"/>
        </w:rPr>
        <w:t>Promozione della vita indipendente e il sostegno all’autodeterminazione</w:t>
      </w:r>
    </w:p>
    <w:p w14:paraId="1E965698" w14:textId="2F904548" w:rsidR="005002F6" w:rsidRPr="001D0D39" w:rsidRDefault="005002F6" w:rsidP="001D0D39">
      <w:pPr>
        <w:shd w:val="clear" w:color="auto" w:fill="FFFFFF"/>
        <w:spacing w:before="120" w:after="0" w:line="360" w:lineRule="auto"/>
        <w:jc w:val="both"/>
        <w:rPr>
          <w:rFonts w:ascii="Times New Roman" w:hAnsi="Times New Roman" w:cs="Times New Roman"/>
          <w:sz w:val="24"/>
          <w:szCs w:val="24"/>
        </w:rPr>
      </w:pPr>
      <w:r w:rsidRPr="001D0D39">
        <w:rPr>
          <w:rFonts w:ascii="Times New Roman" w:hAnsi="Times New Roman" w:cs="Times New Roman"/>
          <w:sz w:val="24"/>
          <w:szCs w:val="24"/>
        </w:rPr>
        <w:t>La Convenzione delle Nazioni Unite ha l’obiettivo di “</w:t>
      </w:r>
      <w:r w:rsidRPr="001D0D39">
        <w:rPr>
          <w:rFonts w:ascii="Times New Roman" w:eastAsia="Times New Roman" w:hAnsi="Times New Roman" w:cs="Times New Roman"/>
          <w:sz w:val="24"/>
          <w:szCs w:val="24"/>
          <w:lang w:eastAsia="it-IT"/>
        </w:rPr>
        <w:t xml:space="preserve">promuovere, proteggere e garantire il pieno e uguale godimento di tutti i diritti umani e di tutte le libertà fondamentali da parte delle persone con disabilità” allo scopo di garantire “la loro piena ed effettiva partecipazione nella società su base di uguaglianza con gli altri”. In questa direzione negli ultimi anni, sulla base dei programmi di azione </w:t>
      </w:r>
      <w:r w:rsidRPr="001D0D39">
        <w:rPr>
          <w:rFonts w:ascii="Times New Roman" w:eastAsia="Times New Roman" w:hAnsi="Times New Roman" w:cs="Times New Roman"/>
          <w:sz w:val="24"/>
          <w:szCs w:val="24"/>
          <w:lang w:eastAsia="it-IT"/>
        </w:rPr>
        <w:lastRenderedPageBreak/>
        <w:t>biennale sulla disabilità, sono stati definiti progetti sperimentali sulla vita indipendente, approvata la legge 112/2016 sul dopo di noi, sviluppate forme di personalizzazione degli interventi di sostegno sociale come il budget di salute. Anche il PNRR ha previsto di “</w:t>
      </w:r>
      <w:r w:rsidRPr="001D0D39">
        <w:rPr>
          <w:rFonts w:ascii="Times New Roman" w:hAnsi="Times New Roman" w:cs="Times New Roman"/>
          <w:sz w:val="24"/>
          <w:szCs w:val="24"/>
        </w:rPr>
        <w:t>sostenere percorsi di vita indipendente, anche con la ristrutturazione di alloggi che sfruttino le tecnologie innovative per superare le barriere fisiche, sensoriali e cognitive che sono di impedimento allo svolgimento autonomo degli atti della vita quotidiana”. L’approvazione nell’ambito delle riforme previste dal PNRR, di una legge quadro (più precisamente delega, legge 227/21) per le persone con disabilità (riforma 1.1 della missione 5) impegna il governo, le regioni e i comuni ha passare ad una fase di riorganizzazione dei welfare regionali, partendo dal riconoscimento della condizione di disabilità al fine di realizzare progetti personalizzati partecipati di diretti interessati. La stessa legge di bilancio 2022 (legge 30 dicembre 2021, n. 234</w:t>
      </w:r>
      <w:r w:rsidRPr="001D0D39">
        <w:rPr>
          <w:rFonts w:ascii="Times New Roman" w:hAnsi="Times New Roman" w:cs="Times New Roman"/>
          <w:b/>
          <w:bCs/>
          <w:sz w:val="24"/>
          <w:szCs w:val="24"/>
        </w:rPr>
        <w:t xml:space="preserve">) </w:t>
      </w:r>
      <w:r w:rsidRPr="001D0D39">
        <w:rPr>
          <w:rFonts w:ascii="Times New Roman" w:hAnsi="Times New Roman" w:cs="Times New Roman"/>
          <w:sz w:val="24"/>
          <w:szCs w:val="24"/>
        </w:rPr>
        <w:t>ha incrementato i fondi in tale direzione di 350 milioni di €uro per i prossimi 3 anni.</w:t>
      </w:r>
    </w:p>
    <w:p w14:paraId="0884CE6D" w14:textId="4CBEB059" w:rsidR="005002F6" w:rsidRPr="001D0D39" w:rsidRDefault="005002F6" w:rsidP="001D0D39">
      <w:pPr>
        <w:shd w:val="clear" w:color="auto" w:fill="FFFFFF"/>
        <w:spacing w:before="120" w:after="0" w:line="360" w:lineRule="auto"/>
        <w:jc w:val="both"/>
        <w:rPr>
          <w:rFonts w:ascii="Times New Roman" w:eastAsia="Times New Roman" w:hAnsi="Times New Roman" w:cs="Times New Roman"/>
          <w:sz w:val="24"/>
          <w:szCs w:val="24"/>
          <w:lang w:eastAsia="it-IT"/>
        </w:rPr>
      </w:pPr>
      <w:r w:rsidRPr="001D0D39">
        <w:rPr>
          <w:rFonts w:ascii="Times New Roman" w:hAnsi="Times New Roman" w:cs="Times New Roman"/>
          <w:sz w:val="24"/>
          <w:szCs w:val="24"/>
        </w:rPr>
        <w:t xml:space="preserve">Nella missione 5 (M5C2) sono sostenuti </w:t>
      </w:r>
      <w:r w:rsidRPr="0010785F">
        <w:rPr>
          <w:rFonts w:ascii="Times New Roman" w:hAnsi="Times New Roman" w:cs="Times New Roman"/>
          <w:b/>
          <w:bCs/>
          <w:sz w:val="24"/>
          <w:szCs w:val="24"/>
        </w:rPr>
        <w:t>modelli di</w:t>
      </w:r>
      <w:r w:rsidRPr="001D0D39">
        <w:rPr>
          <w:rFonts w:ascii="Times New Roman" w:hAnsi="Times New Roman" w:cs="Times New Roman"/>
          <w:sz w:val="24"/>
          <w:szCs w:val="24"/>
        </w:rPr>
        <w:t xml:space="preserve"> </w:t>
      </w:r>
      <w:r w:rsidRPr="0010785F">
        <w:rPr>
          <w:rFonts w:ascii="Times New Roman" w:hAnsi="Times New Roman" w:cs="Times New Roman"/>
          <w:b/>
          <w:bCs/>
          <w:sz w:val="24"/>
          <w:szCs w:val="24"/>
        </w:rPr>
        <w:t>progettazione personalizzati</w:t>
      </w:r>
      <w:r w:rsidRPr="001D0D39">
        <w:rPr>
          <w:rFonts w:ascii="Times New Roman" w:hAnsi="Times New Roman" w:cs="Times New Roman"/>
          <w:sz w:val="24"/>
          <w:szCs w:val="24"/>
        </w:rPr>
        <w:t xml:space="preserve"> per persone con disabilità (minori, adolescenti, adulti, anziani) con specifici investimenti (investimento1.1, 1.2) e riforme (riforme 1.1, 1.2).</w:t>
      </w:r>
    </w:p>
    <w:p w14:paraId="336446DE" w14:textId="77777777" w:rsidR="0010785F" w:rsidRDefault="005002F6" w:rsidP="001D0D39">
      <w:pPr>
        <w:spacing w:line="360" w:lineRule="auto"/>
        <w:jc w:val="both"/>
        <w:rPr>
          <w:rFonts w:ascii="Times New Roman" w:hAnsi="Times New Roman" w:cs="Times New Roman"/>
          <w:sz w:val="24"/>
          <w:szCs w:val="24"/>
        </w:rPr>
      </w:pPr>
      <w:r w:rsidRPr="001D0D39">
        <w:rPr>
          <w:rFonts w:ascii="Times New Roman" w:hAnsi="Times New Roman" w:cs="Times New Roman"/>
          <w:sz w:val="24"/>
          <w:szCs w:val="24"/>
        </w:rPr>
        <w:t xml:space="preserve">Il PNRR prevede “un .rilevante investimento infrastrutturale, finalizzato alla prevenzione dell’istituzionalizzazione attraverso soluzioni alloggiative e dotazioni strumentali innovative che permettano di conseguire e mantenere la massima autonomia, con la garanzia di servizi accessori, in particolare legati alla domiciliarità, che assicurino la continuità dell’assistenza, secondo un modello di presa in carico socio-sanitaria coordinato con il parallelo progetto di </w:t>
      </w:r>
      <w:r w:rsidRPr="0010785F">
        <w:rPr>
          <w:rFonts w:ascii="Times New Roman" w:hAnsi="Times New Roman" w:cs="Times New Roman"/>
          <w:b/>
          <w:bCs/>
          <w:sz w:val="24"/>
          <w:szCs w:val="24"/>
        </w:rPr>
        <w:t>rafforzamento dell’assistenza sanitaria e della rete sanitaria territoriale</w:t>
      </w:r>
      <w:r w:rsidRPr="001D0D39">
        <w:rPr>
          <w:rFonts w:ascii="Times New Roman" w:hAnsi="Times New Roman" w:cs="Times New Roman"/>
          <w:sz w:val="24"/>
          <w:szCs w:val="24"/>
        </w:rPr>
        <w:t xml:space="preserve"> previsto nella componente Missione 6 Salute”.</w:t>
      </w:r>
    </w:p>
    <w:p w14:paraId="326294E1" w14:textId="77777777" w:rsidR="0010785F" w:rsidRDefault="005002F6" w:rsidP="001D0D39">
      <w:pPr>
        <w:spacing w:line="360" w:lineRule="auto"/>
        <w:jc w:val="both"/>
        <w:rPr>
          <w:rFonts w:ascii="Times New Roman" w:hAnsi="Times New Roman" w:cs="Times New Roman"/>
          <w:sz w:val="24"/>
          <w:szCs w:val="24"/>
        </w:rPr>
      </w:pPr>
      <w:r w:rsidRPr="001D0D39">
        <w:rPr>
          <w:rFonts w:ascii="Times New Roman" w:hAnsi="Times New Roman" w:cs="Times New Roman"/>
          <w:sz w:val="24"/>
          <w:szCs w:val="24"/>
        </w:rPr>
        <w:t xml:space="preserve">I modelli di intervento sono i progetti di vita indipendente, del dopo di noi e del budget di salute e simili, basati sull’autodeterminazione dei soggetti titolari. Per queste ragioni è </w:t>
      </w:r>
      <w:r w:rsidRPr="0010785F">
        <w:rPr>
          <w:rFonts w:ascii="Times New Roman" w:hAnsi="Times New Roman" w:cs="Times New Roman"/>
          <w:b/>
          <w:bCs/>
          <w:sz w:val="24"/>
          <w:szCs w:val="24"/>
        </w:rPr>
        <w:t>necessario indicare nelle schede dei progetti finanziati il numero, la tipologia di progetti, così come il numero di beneficiari attraverso dati disaggregati per sesso, età, distribuzione geografica e tipologia di disabilità</w:t>
      </w:r>
      <w:r w:rsidRPr="001D0D39">
        <w:rPr>
          <w:rFonts w:ascii="Times New Roman" w:hAnsi="Times New Roman" w:cs="Times New Roman"/>
          <w:sz w:val="24"/>
          <w:szCs w:val="24"/>
        </w:rPr>
        <w:t xml:space="preserve"> (motoria, sensoriale di ciechi e sordi, intellettiva e relazionale, mentale). Tali approcci infatti sostituiranno progressivamente, anche con la definizione dei decreti attuativi della legge quadro/delega (legge 227/21), le attuali progettazioni realizzate dai welfare regionali, sostenendo l’autodeterminazione e la riduzione delle istituzionalizzazioni, promuovendo il mantenimento delle persone nel proprio ambente di vita, attraverso sostegni alla massima autonomia (anche in forma autogestita), in ambienti abitativi propri o di </w:t>
      </w:r>
      <w:r w:rsidRPr="001D0D39">
        <w:rPr>
          <w:rFonts w:ascii="Times New Roman" w:hAnsi="Times New Roman" w:cs="Times New Roman"/>
          <w:i/>
          <w:iCs/>
          <w:sz w:val="24"/>
          <w:szCs w:val="24"/>
        </w:rPr>
        <w:t>housing</w:t>
      </w:r>
      <w:r w:rsidRPr="001D0D39">
        <w:rPr>
          <w:rFonts w:ascii="Times New Roman" w:hAnsi="Times New Roman" w:cs="Times New Roman"/>
          <w:sz w:val="24"/>
          <w:szCs w:val="24"/>
        </w:rPr>
        <w:t xml:space="preserve"> sociali. </w:t>
      </w:r>
    </w:p>
    <w:p w14:paraId="69EFF0D4" w14:textId="6EEE5A6C" w:rsidR="005002F6" w:rsidRPr="001D0D39" w:rsidRDefault="005002F6" w:rsidP="001D0D39">
      <w:pPr>
        <w:spacing w:line="360" w:lineRule="auto"/>
        <w:jc w:val="both"/>
        <w:rPr>
          <w:rFonts w:ascii="Times New Roman" w:hAnsi="Times New Roman" w:cs="Times New Roman"/>
          <w:sz w:val="24"/>
          <w:szCs w:val="24"/>
        </w:rPr>
      </w:pPr>
      <w:r w:rsidRPr="001D0D39">
        <w:rPr>
          <w:rFonts w:ascii="Times New Roman" w:hAnsi="Times New Roman" w:cs="Times New Roman"/>
          <w:sz w:val="24"/>
          <w:szCs w:val="24"/>
        </w:rPr>
        <w:lastRenderedPageBreak/>
        <w:t xml:space="preserve">Particolare importanza sono la realizzazione di politiche territoriali di </w:t>
      </w:r>
      <w:r w:rsidRPr="0010785F">
        <w:rPr>
          <w:rFonts w:ascii="Times New Roman" w:hAnsi="Times New Roman" w:cs="Times New Roman"/>
          <w:b/>
          <w:bCs/>
          <w:sz w:val="24"/>
          <w:szCs w:val="24"/>
        </w:rPr>
        <w:t>prevenzione della istituzionalizzazione delle persone anziane non autosufficienti</w:t>
      </w:r>
      <w:r w:rsidRPr="001D0D39">
        <w:rPr>
          <w:rFonts w:ascii="Times New Roman" w:hAnsi="Times New Roman" w:cs="Times New Roman"/>
          <w:sz w:val="24"/>
          <w:szCs w:val="24"/>
        </w:rPr>
        <w:t xml:space="preserve"> (da considerare persone con disabilità a causa di processi di invecchiamento che ne limitano le funzionalità d</w:t>
      </w:r>
      <w:r w:rsidR="004D4D8D" w:rsidRPr="001D0D39">
        <w:rPr>
          <w:rFonts w:ascii="Times New Roman" w:hAnsi="Times New Roman" w:cs="Times New Roman"/>
          <w:sz w:val="24"/>
          <w:szCs w:val="24"/>
        </w:rPr>
        <w:t>e</w:t>
      </w:r>
      <w:r w:rsidRPr="001D0D39">
        <w:rPr>
          <w:rFonts w:ascii="Times New Roman" w:hAnsi="Times New Roman" w:cs="Times New Roman"/>
          <w:sz w:val="24"/>
          <w:szCs w:val="24"/>
        </w:rPr>
        <w:t>l corpo)</w:t>
      </w:r>
      <w:r w:rsidR="0010785F">
        <w:rPr>
          <w:rFonts w:ascii="Times New Roman" w:hAnsi="Times New Roman" w:cs="Times New Roman"/>
          <w:sz w:val="24"/>
          <w:szCs w:val="24"/>
        </w:rPr>
        <w:t xml:space="preserve">: </w:t>
      </w:r>
      <w:r w:rsidRPr="001D0D39">
        <w:rPr>
          <w:rFonts w:ascii="Times New Roman" w:hAnsi="Times New Roman" w:cs="Times New Roman"/>
          <w:sz w:val="24"/>
          <w:szCs w:val="24"/>
        </w:rPr>
        <w:t>“</w:t>
      </w:r>
      <w:r w:rsidR="0010785F">
        <w:rPr>
          <w:rFonts w:ascii="Times New Roman" w:hAnsi="Times New Roman" w:cs="Times New Roman"/>
          <w:sz w:val="24"/>
          <w:szCs w:val="24"/>
        </w:rPr>
        <w:t>g</w:t>
      </w:r>
      <w:r w:rsidRPr="001D0D39">
        <w:rPr>
          <w:rFonts w:ascii="Times New Roman" w:hAnsi="Times New Roman" w:cs="Times New Roman"/>
          <w:sz w:val="24"/>
          <w:szCs w:val="24"/>
        </w:rPr>
        <w:t xml:space="preserve">li ambiti territoriali potranno anche proporre progetti ancora più diffusi, con la creazione di reti che servano gruppi di appartamenti, assicurando loro i servizi necessari alla permanenza in sicurezza della persona anziana sul proprio territorio, a partire dai servizi domiciliari”. </w:t>
      </w:r>
      <w:r w:rsidR="004D4D8D" w:rsidRPr="001D0D39">
        <w:rPr>
          <w:rFonts w:ascii="Times New Roman" w:hAnsi="Times New Roman" w:cs="Times New Roman"/>
          <w:sz w:val="24"/>
          <w:szCs w:val="24"/>
        </w:rPr>
        <w:t>Il PNRR</w:t>
      </w:r>
      <w:r w:rsidR="0010785F">
        <w:rPr>
          <w:rFonts w:ascii="Times New Roman" w:hAnsi="Times New Roman" w:cs="Times New Roman"/>
          <w:sz w:val="24"/>
          <w:szCs w:val="24"/>
        </w:rPr>
        <w:t>,</w:t>
      </w:r>
      <w:r w:rsidR="004D4D8D" w:rsidRPr="001D0D39">
        <w:rPr>
          <w:rFonts w:ascii="Times New Roman" w:hAnsi="Times New Roman" w:cs="Times New Roman"/>
          <w:sz w:val="24"/>
          <w:szCs w:val="24"/>
        </w:rPr>
        <w:t xml:space="preserve"> poi</w:t>
      </w:r>
      <w:r w:rsidR="0010785F">
        <w:rPr>
          <w:rFonts w:ascii="Times New Roman" w:hAnsi="Times New Roman" w:cs="Times New Roman"/>
          <w:sz w:val="24"/>
          <w:szCs w:val="24"/>
        </w:rPr>
        <w:t>,</w:t>
      </w:r>
      <w:r w:rsidR="004D4D8D" w:rsidRPr="001D0D39">
        <w:rPr>
          <w:rFonts w:ascii="Times New Roman" w:hAnsi="Times New Roman" w:cs="Times New Roman"/>
          <w:sz w:val="24"/>
          <w:szCs w:val="24"/>
        </w:rPr>
        <w:t xml:space="preserve"> sottolinea che </w:t>
      </w:r>
      <w:r w:rsidRPr="001D0D39">
        <w:rPr>
          <w:rFonts w:ascii="Times New Roman" w:hAnsi="Times New Roman" w:cs="Times New Roman"/>
          <w:sz w:val="24"/>
          <w:szCs w:val="24"/>
        </w:rPr>
        <w:t>“</w:t>
      </w:r>
      <w:r w:rsidR="0010785F">
        <w:rPr>
          <w:rFonts w:ascii="Times New Roman" w:hAnsi="Times New Roman" w:cs="Times New Roman"/>
          <w:sz w:val="24"/>
          <w:szCs w:val="24"/>
        </w:rPr>
        <w:t>e</w:t>
      </w:r>
      <w:r w:rsidRPr="001D0D39">
        <w:rPr>
          <w:rFonts w:ascii="Times New Roman" w:hAnsi="Times New Roman" w:cs="Times New Roman"/>
          <w:sz w:val="24"/>
          <w:szCs w:val="24"/>
        </w:rPr>
        <w:t>lementi di domotica, telemedicina e monitoraggio a distanza permetteranno di aumentare l'efficacia dell'intervento, affiancato da servizi di presa in carico e rafforzamento della domiciliarità, nell'ottica multidisciplinare, in particolare con riferimento all’integrazione sociosanitaria e di attenzione alle esigenze della singola persona”.</w:t>
      </w:r>
    </w:p>
    <w:p w14:paraId="34F6EEED" w14:textId="77777777" w:rsidR="005002F6" w:rsidRPr="001D0D39" w:rsidRDefault="005002F6" w:rsidP="001D0D39">
      <w:pPr>
        <w:spacing w:line="360" w:lineRule="auto"/>
        <w:jc w:val="both"/>
        <w:rPr>
          <w:rFonts w:ascii="Times New Roman" w:hAnsi="Times New Roman" w:cs="Times New Roman"/>
          <w:sz w:val="24"/>
          <w:szCs w:val="24"/>
        </w:rPr>
      </w:pPr>
    </w:p>
    <w:p w14:paraId="0038C1E2" w14:textId="3FE94594" w:rsidR="005002F6" w:rsidRPr="0010785F" w:rsidRDefault="005002F6" w:rsidP="0010785F">
      <w:pPr>
        <w:pStyle w:val="Paragrafoelenco"/>
        <w:numPr>
          <w:ilvl w:val="0"/>
          <w:numId w:val="1"/>
        </w:numPr>
        <w:spacing w:line="360" w:lineRule="auto"/>
        <w:jc w:val="both"/>
        <w:rPr>
          <w:rFonts w:ascii="Times New Roman" w:hAnsi="Times New Roman" w:cs="Times New Roman"/>
          <w:b/>
          <w:bCs/>
          <w:i/>
          <w:iCs/>
          <w:sz w:val="28"/>
          <w:szCs w:val="28"/>
        </w:rPr>
      </w:pPr>
      <w:r w:rsidRPr="0010785F">
        <w:rPr>
          <w:rFonts w:ascii="Times New Roman" w:hAnsi="Times New Roman" w:cs="Times New Roman"/>
          <w:b/>
          <w:bCs/>
          <w:i/>
          <w:iCs/>
          <w:sz w:val="28"/>
          <w:szCs w:val="28"/>
        </w:rPr>
        <w:t>Principio di non discriminazione</w:t>
      </w:r>
    </w:p>
    <w:p w14:paraId="1C72AF08" w14:textId="77777777" w:rsidR="005002F6" w:rsidRPr="001D0D39" w:rsidRDefault="005002F6" w:rsidP="001D0D39">
      <w:pPr>
        <w:spacing w:line="360" w:lineRule="auto"/>
        <w:jc w:val="both"/>
        <w:rPr>
          <w:rFonts w:ascii="Times New Roman" w:hAnsi="Times New Roman" w:cs="Times New Roman"/>
          <w:sz w:val="24"/>
          <w:szCs w:val="24"/>
        </w:rPr>
      </w:pPr>
      <w:r w:rsidRPr="001D0D39">
        <w:rPr>
          <w:rFonts w:ascii="Times New Roman" w:hAnsi="Times New Roman" w:cs="Times New Roman"/>
          <w:sz w:val="24"/>
          <w:szCs w:val="24"/>
        </w:rPr>
        <w:t>Il PNRR fa riferimento, come uno dei principi a rispettare, alle pari opportunità per le persone con disabilità. Egualmente il divario di cittadinanza obiettivo del PNRR riguarda non solo lo svantaggio territoriale del sud Italia, ma anche le diseguaglianze tra i cittadini, indicato nel punto 10 degli Obiettivi di sviluppo sostenibile, che penalizza fortemente le persone con disabilità, la cui partecipazione paritaria con gli altri cittadini è impedita da ostacoli, barriere e discriminazioni create da chi non include le persone con disabilità tra  i cittadini beneficiari di tutti i risultati dello sviluppo. (politiche generali, servizi pubblici ed aperti al pubblico, strumentazioni innovative, etc.).</w:t>
      </w:r>
    </w:p>
    <w:p w14:paraId="76B174A9" w14:textId="1E07AC19" w:rsidR="005002F6" w:rsidRPr="001D0D39" w:rsidRDefault="005002F6" w:rsidP="001D0D39">
      <w:pPr>
        <w:spacing w:line="360" w:lineRule="auto"/>
        <w:jc w:val="both"/>
        <w:rPr>
          <w:rFonts w:ascii="Times New Roman" w:hAnsi="Times New Roman" w:cs="Times New Roman"/>
          <w:sz w:val="24"/>
          <w:szCs w:val="24"/>
        </w:rPr>
      </w:pPr>
      <w:r w:rsidRPr="001D0D39">
        <w:rPr>
          <w:rFonts w:ascii="Times New Roman" w:hAnsi="Times New Roman" w:cs="Times New Roman"/>
          <w:sz w:val="24"/>
          <w:szCs w:val="24"/>
        </w:rPr>
        <w:t xml:space="preserve">I principi di eguaglianza di opportunità e non discriminazione sono contenuti in varie legislazioni nazionali ed europee (legislazioni sul lavoro come il </w:t>
      </w:r>
      <w:r w:rsidR="0010785F">
        <w:rPr>
          <w:rFonts w:ascii="Times New Roman" w:hAnsi="Times New Roman" w:cs="Times New Roman"/>
          <w:sz w:val="24"/>
          <w:szCs w:val="24"/>
        </w:rPr>
        <w:t>d. lgs</w:t>
      </w:r>
      <w:r w:rsidRPr="001D0D39">
        <w:rPr>
          <w:rFonts w:ascii="Times New Roman" w:hAnsi="Times New Roman" w:cs="Times New Roman"/>
          <w:sz w:val="24"/>
          <w:szCs w:val="24"/>
        </w:rPr>
        <w:t xml:space="preserve"> 216/2003, la legge 67/2006 sulla discriminazione, l’art. 5 della Convenzione ONU, l’art. 19 del trattato dell’Unione Europea) e rappresentano uno standard di riferimento per l’Italia che ha ratificato la Convenzione sui diritti delle persone con disabilità delle Nazioni Unite, </w:t>
      </w:r>
    </w:p>
    <w:p w14:paraId="10D56CCF" w14:textId="77B29FF3" w:rsidR="005002F6" w:rsidRPr="001D0D39" w:rsidRDefault="005002F6" w:rsidP="001D0D39">
      <w:pPr>
        <w:pStyle w:val="NormaleWeb"/>
        <w:spacing w:line="360" w:lineRule="auto"/>
        <w:jc w:val="both"/>
      </w:pPr>
      <w:r w:rsidRPr="001D0D39">
        <w:t xml:space="preserve">Come già segnalato in precedenza per l’accessibilità, nel caso di non rispetto del principio di pari opportunità e non discriminazione in confronto con gli altri cittadini si è soggetti a possibili denunce per discriminazione (legge 67/2006). Negli ultimi anni varie sentenze riguardanti amministrazioni pubbliche le hanno condannate in vari ambiti riguardanti le discriminazioni e la mancanza di pari opportunità (trasporti, diritto all’educazione e al lavoro, accessibilità). In molti casi, </w:t>
      </w:r>
      <w:r w:rsidR="00825A22" w:rsidRPr="001D0D39">
        <w:t>oltre all</w:t>
      </w:r>
      <w:r w:rsidR="0010785F">
        <w:t>e</w:t>
      </w:r>
      <w:r w:rsidR="00825A22" w:rsidRPr="001D0D39">
        <w:t xml:space="preserve"> spese processuali, </w:t>
      </w:r>
      <w:r w:rsidRPr="001D0D39">
        <w:t>quando si è accertato il danno causato, le amministrazioni pubbliche sono state condannate anche al risarcimento dei danni materiali e morali.</w:t>
      </w:r>
    </w:p>
    <w:p w14:paraId="66BC0CF3" w14:textId="03580627" w:rsidR="005002F6" w:rsidRPr="001D0D39" w:rsidRDefault="005002F6" w:rsidP="001D0D39">
      <w:pPr>
        <w:pStyle w:val="NormaleWeb"/>
        <w:spacing w:line="360" w:lineRule="auto"/>
        <w:jc w:val="both"/>
      </w:pPr>
      <w:r w:rsidRPr="001D0D39">
        <w:lastRenderedPageBreak/>
        <w:t xml:space="preserve">Perciò nell’attuazione dei progetti, delle misure e delle riforme </w:t>
      </w:r>
      <w:r w:rsidR="0010785F">
        <w:t>va sempre</w:t>
      </w:r>
      <w:r w:rsidRPr="001D0D39">
        <w:t xml:space="preserve"> tenuto conto che</w:t>
      </w:r>
      <w:r w:rsidR="0010785F">
        <w:t>,</w:t>
      </w:r>
      <w:r w:rsidRPr="001D0D39">
        <w:t xml:space="preserve"> tra i potenziali beneficiari degli interventi</w:t>
      </w:r>
      <w:r w:rsidR="0010785F">
        <w:t>,</w:t>
      </w:r>
      <w:r w:rsidRPr="001D0D39">
        <w:t xml:space="preserve"> vanno incluse le persone con disabilità, inserendo nelle progettazioni iniziali gli elementi che prevengano le diseguaglianze e le discriminazioni. Un elemento culturale e tecnico utilizzabile è quello di prevedere gli </w:t>
      </w:r>
      <w:r w:rsidRPr="0010785F">
        <w:rPr>
          <w:b/>
          <w:bCs/>
        </w:rPr>
        <w:t>accomodamenti ragionevoli</w:t>
      </w:r>
      <w:r w:rsidRPr="001D0D39">
        <w:t xml:space="preserve"> (art. 2 e 5 della Convenzione ONU) già in fase di progettazione. Per accomodamento ragionevole si intendono “le modifiche e gli adattamenti necessari ed appropriati che non impongano un onere sproporzionato o eccessivo adottati, ove ve ne sia necessità in casi particolari, per garantire alle persone con disabilità il godimento o l’esercizio, su base di uguaglianza con gli altri, di tutti i diritti umani e delle libertà fondamentali”.</w:t>
      </w:r>
    </w:p>
    <w:p w14:paraId="2D427A75" w14:textId="62F0AC9B" w:rsidR="00A10266" w:rsidRPr="001D0D39" w:rsidRDefault="005002F6" w:rsidP="001D0D39">
      <w:pPr>
        <w:spacing w:after="0" w:line="360" w:lineRule="auto"/>
        <w:jc w:val="both"/>
        <w:textAlignment w:val="baseline"/>
        <w:rPr>
          <w:rFonts w:ascii="Times New Roman" w:eastAsia="Times New Roman" w:hAnsi="Times New Roman" w:cs="Times New Roman"/>
          <w:b/>
          <w:bCs/>
          <w:sz w:val="24"/>
          <w:szCs w:val="24"/>
          <w:lang w:eastAsia="it-IT"/>
        </w:rPr>
      </w:pPr>
      <w:r w:rsidRPr="001D0D39">
        <w:rPr>
          <w:rFonts w:ascii="Times New Roman" w:hAnsi="Times New Roman" w:cs="Times New Roman"/>
          <w:sz w:val="24"/>
          <w:szCs w:val="24"/>
        </w:rPr>
        <w:t xml:space="preserve">Per segnalare alcuni esempi, in una logica di </w:t>
      </w:r>
      <w:r w:rsidRPr="001D0D39">
        <w:rPr>
          <w:rFonts w:ascii="Times New Roman" w:hAnsi="Times New Roman" w:cs="Times New Roman"/>
          <w:i/>
          <w:iCs/>
          <w:sz w:val="24"/>
          <w:szCs w:val="24"/>
        </w:rPr>
        <w:t>mainstreaming</w:t>
      </w:r>
      <w:r w:rsidRPr="001D0D39">
        <w:rPr>
          <w:rFonts w:ascii="Times New Roman" w:hAnsi="Times New Roman" w:cs="Times New Roman"/>
          <w:sz w:val="24"/>
          <w:szCs w:val="24"/>
        </w:rPr>
        <w:t xml:space="preserve">, nella missione </w:t>
      </w:r>
      <w:proofErr w:type="gramStart"/>
      <w:r w:rsidRPr="001D0D39">
        <w:rPr>
          <w:rFonts w:ascii="Times New Roman" w:hAnsi="Times New Roman" w:cs="Times New Roman"/>
          <w:sz w:val="24"/>
          <w:szCs w:val="24"/>
        </w:rPr>
        <w:t>4</w:t>
      </w:r>
      <w:proofErr w:type="gramEnd"/>
      <w:r w:rsidRPr="001D0D39">
        <w:rPr>
          <w:rFonts w:ascii="Times New Roman" w:hAnsi="Times New Roman" w:cs="Times New Roman"/>
          <w:sz w:val="24"/>
          <w:szCs w:val="24"/>
        </w:rPr>
        <w:t xml:space="preserve"> quando si parla di </w:t>
      </w:r>
      <w:r w:rsidRPr="0010785F">
        <w:rPr>
          <w:rFonts w:ascii="Times New Roman" w:hAnsi="Times New Roman" w:cs="Times New Roman"/>
          <w:b/>
          <w:bCs/>
          <w:sz w:val="24"/>
          <w:szCs w:val="24"/>
        </w:rPr>
        <w:t>piano per incrementare i servizi di asilo nido e della prima infanzia, di interventi per la scuola, di orientamento, università e formazione professionale</w:t>
      </w:r>
      <w:r w:rsidRPr="001D0D39">
        <w:rPr>
          <w:rFonts w:ascii="Times New Roman" w:hAnsi="Times New Roman" w:cs="Times New Roman"/>
          <w:sz w:val="24"/>
          <w:szCs w:val="24"/>
        </w:rPr>
        <w:t xml:space="preserve"> vanno inclusi i minori e gli studenti con disabilità, prevedendo soluzioni inclusive nell’ambito di interventi generali. Egualmente gli obiettivi generali trasversali contenuti nel PNRR che prestano particolare attenzione all’</w:t>
      </w:r>
      <w:r w:rsidRPr="0010785F">
        <w:rPr>
          <w:rFonts w:ascii="Times New Roman" w:hAnsi="Times New Roman" w:cs="Times New Roman"/>
          <w:b/>
          <w:bCs/>
          <w:sz w:val="24"/>
          <w:szCs w:val="24"/>
        </w:rPr>
        <w:t xml:space="preserve">occupazione di donne e di giovani </w:t>
      </w:r>
      <w:r w:rsidRPr="001D0D39">
        <w:rPr>
          <w:rFonts w:ascii="Times New Roman" w:hAnsi="Times New Roman" w:cs="Times New Roman"/>
          <w:sz w:val="24"/>
          <w:szCs w:val="24"/>
        </w:rPr>
        <w:t xml:space="preserve">dovranno includere anche le donne ed i giovani con disabilità. </w:t>
      </w:r>
      <w:r w:rsidR="00825A22" w:rsidRPr="001D0D39">
        <w:rPr>
          <w:rFonts w:ascii="Times New Roman" w:hAnsi="Times New Roman" w:cs="Times New Roman"/>
          <w:sz w:val="24"/>
          <w:szCs w:val="24"/>
        </w:rPr>
        <w:t xml:space="preserve">Nell’accesso delle aziende ai bandi del PNRR è previsto che le ditte vincitrici con almeno 15 dipendenti segnalino gli incrementi degli occupati giovani e donne anche con disabilità nell’espletamento dei lavori a loro assegnati </w:t>
      </w:r>
      <w:r w:rsidR="00A10266" w:rsidRPr="001D0D39">
        <w:rPr>
          <w:rFonts w:ascii="Times New Roman" w:hAnsi="Times New Roman" w:cs="Times New Roman"/>
          <w:sz w:val="24"/>
          <w:szCs w:val="24"/>
        </w:rPr>
        <w:t>(</w:t>
      </w:r>
      <w:proofErr w:type="gramStart"/>
      <w:r w:rsidR="00A10266" w:rsidRPr="001D0D39">
        <w:rPr>
          <w:rFonts w:ascii="Times New Roman" w:hAnsi="Times New Roman" w:cs="Times New Roman"/>
          <w:sz w:val="24"/>
          <w:szCs w:val="24"/>
        </w:rPr>
        <w:t>Decreto legge</w:t>
      </w:r>
      <w:proofErr w:type="gramEnd"/>
      <w:r w:rsidR="00A10266" w:rsidRPr="001D0D39">
        <w:rPr>
          <w:rFonts w:ascii="Times New Roman" w:hAnsi="Times New Roman" w:cs="Times New Roman"/>
          <w:sz w:val="24"/>
          <w:szCs w:val="24"/>
        </w:rPr>
        <w:t xml:space="preserve"> 31 maggio 2021 n. 77, art. </w:t>
      </w:r>
      <w:r w:rsidR="00504CB8" w:rsidRPr="001D0D39">
        <w:rPr>
          <w:rFonts w:ascii="Times New Roman" w:hAnsi="Times New Roman" w:cs="Times New Roman"/>
          <w:sz w:val="24"/>
          <w:szCs w:val="24"/>
        </w:rPr>
        <w:t>47</w:t>
      </w:r>
      <w:r w:rsidR="00A10266" w:rsidRPr="001D0D39">
        <w:rPr>
          <w:rFonts w:ascii="Times New Roman" w:hAnsi="Times New Roman" w:cs="Times New Roman"/>
          <w:sz w:val="24"/>
          <w:szCs w:val="24"/>
        </w:rPr>
        <w:t>, la cosiddetta legge sulla governance).</w:t>
      </w:r>
    </w:p>
    <w:p w14:paraId="5749B89E" w14:textId="15200F8E" w:rsidR="005002F6" w:rsidRPr="001D0D39" w:rsidRDefault="005002F6" w:rsidP="001D0D39">
      <w:pPr>
        <w:pStyle w:val="NormaleWeb"/>
        <w:spacing w:line="360" w:lineRule="auto"/>
        <w:jc w:val="both"/>
      </w:pPr>
      <w:r w:rsidRPr="001D0D39">
        <w:t xml:space="preserve">Nelle </w:t>
      </w:r>
      <w:r w:rsidRPr="0010785F">
        <w:rPr>
          <w:b/>
          <w:bCs/>
        </w:rPr>
        <w:t>politiche attive del lavoro</w:t>
      </w:r>
      <w:r w:rsidRPr="001D0D39">
        <w:t xml:space="preserve"> vanno inclusi i disoccupati con disabilità (come il programma </w:t>
      </w:r>
      <w:proofErr w:type="spellStart"/>
      <w:r w:rsidRPr="001D0D39">
        <w:t>GOLo</w:t>
      </w:r>
      <w:proofErr w:type="spellEnd"/>
      <w:r w:rsidRPr="001D0D39">
        <w:t xml:space="preserve"> Piano nazionale nuove competenze), potenziando anche le competenze professionali in campo del </w:t>
      </w:r>
      <w:r w:rsidRPr="001D0D39">
        <w:rPr>
          <w:i/>
          <w:iCs/>
        </w:rPr>
        <w:t>job coaching</w:t>
      </w:r>
      <w:r w:rsidRPr="001D0D39">
        <w:t xml:space="preserve"> dei centri per l’impiego verso l’occupazione di lavoratori/</w:t>
      </w:r>
      <w:proofErr w:type="spellStart"/>
      <w:r w:rsidRPr="001D0D39">
        <w:t>trici</w:t>
      </w:r>
      <w:proofErr w:type="spellEnd"/>
      <w:r w:rsidRPr="001D0D39">
        <w:t xml:space="preserve"> con disabilità (M5C1. Investimento 1.1). Anche all’interno del servizio civile vanno promosse pratiche di inclusione delle persone con disabilità, già partecipanti a vari progetti su questo tema.</w:t>
      </w:r>
    </w:p>
    <w:p w14:paraId="423C6648" w14:textId="253619A0" w:rsidR="005002F6" w:rsidRPr="001D0D39" w:rsidRDefault="005002F6" w:rsidP="001D0D39">
      <w:pPr>
        <w:pStyle w:val="NormaleWeb"/>
        <w:spacing w:line="360" w:lineRule="auto"/>
        <w:jc w:val="both"/>
      </w:pPr>
      <w:r w:rsidRPr="001D0D39">
        <w:t>In altri termini</w:t>
      </w:r>
      <w:r w:rsidR="0010785F">
        <w:t>,</w:t>
      </w:r>
      <w:r w:rsidRPr="001D0D39">
        <w:t xml:space="preserve"> la Convenzione ONU ha l’obiettivo della piena inclusione che significa considerare le persone con disabilità come una fascia di popolazione all’interno delle politiche generali per tutti i cittadini in tutti gli ambiti di azione e progettualità.</w:t>
      </w:r>
    </w:p>
    <w:p w14:paraId="222CACAD" w14:textId="06BBBFC2" w:rsidR="005002F6" w:rsidRDefault="005002F6" w:rsidP="001D0D39">
      <w:pPr>
        <w:spacing w:line="360" w:lineRule="auto"/>
        <w:jc w:val="both"/>
        <w:rPr>
          <w:rFonts w:ascii="Times New Roman" w:hAnsi="Times New Roman" w:cs="Times New Roman"/>
          <w:sz w:val="24"/>
          <w:szCs w:val="24"/>
        </w:rPr>
      </w:pPr>
    </w:p>
    <w:p w14:paraId="6BB8273A" w14:textId="12C5CD4A" w:rsidR="00EE16A1" w:rsidRDefault="00EE16A1" w:rsidP="001D0D39">
      <w:pPr>
        <w:spacing w:line="360" w:lineRule="auto"/>
        <w:jc w:val="both"/>
        <w:rPr>
          <w:rFonts w:ascii="Times New Roman" w:hAnsi="Times New Roman" w:cs="Times New Roman"/>
          <w:sz w:val="24"/>
          <w:szCs w:val="24"/>
        </w:rPr>
      </w:pPr>
    </w:p>
    <w:p w14:paraId="4961550B" w14:textId="77777777" w:rsidR="00EE16A1" w:rsidRPr="001D0D39" w:rsidRDefault="00EE16A1" w:rsidP="001D0D39">
      <w:pPr>
        <w:spacing w:line="360" w:lineRule="auto"/>
        <w:jc w:val="both"/>
        <w:rPr>
          <w:rFonts w:ascii="Times New Roman" w:hAnsi="Times New Roman" w:cs="Times New Roman"/>
          <w:sz w:val="24"/>
          <w:szCs w:val="24"/>
        </w:rPr>
      </w:pPr>
    </w:p>
    <w:p w14:paraId="26E93E7E" w14:textId="570A408A" w:rsidR="005002F6" w:rsidRPr="0010785F" w:rsidRDefault="005002F6" w:rsidP="0010785F">
      <w:pPr>
        <w:pStyle w:val="Paragrafoelenco"/>
        <w:numPr>
          <w:ilvl w:val="0"/>
          <w:numId w:val="1"/>
        </w:numPr>
        <w:spacing w:line="360" w:lineRule="auto"/>
        <w:jc w:val="both"/>
        <w:rPr>
          <w:rFonts w:ascii="Times New Roman" w:hAnsi="Times New Roman" w:cs="Times New Roman"/>
          <w:b/>
          <w:bCs/>
          <w:i/>
          <w:iCs/>
          <w:sz w:val="28"/>
          <w:szCs w:val="28"/>
        </w:rPr>
      </w:pPr>
      <w:r w:rsidRPr="0010785F">
        <w:rPr>
          <w:rFonts w:ascii="Times New Roman" w:hAnsi="Times New Roman" w:cs="Times New Roman"/>
          <w:b/>
          <w:bCs/>
          <w:i/>
          <w:iCs/>
          <w:sz w:val="28"/>
          <w:szCs w:val="28"/>
        </w:rPr>
        <w:lastRenderedPageBreak/>
        <w:t>Consultazione pubblica delle associazioni rappresentative delle persone con disabilità</w:t>
      </w:r>
    </w:p>
    <w:p w14:paraId="7578A60C" w14:textId="36085393" w:rsidR="00C659AB" w:rsidRDefault="005002F6" w:rsidP="001D0D39">
      <w:pPr>
        <w:spacing w:line="360" w:lineRule="auto"/>
        <w:jc w:val="both"/>
        <w:rPr>
          <w:rFonts w:ascii="Times New Roman" w:eastAsia="Times New Roman" w:hAnsi="Times New Roman" w:cs="Times New Roman"/>
          <w:sz w:val="24"/>
          <w:szCs w:val="24"/>
          <w:lang w:eastAsia="it-IT"/>
        </w:rPr>
      </w:pPr>
      <w:r w:rsidRPr="001D0D39">
        <w:rPr>
          <w:rFonts w:ascii="Times New Roman" w:hAnsi="Times New Roman" w:cs="Times New Roman"/>
          <w:sz w:val="24"/>
          <w:szCs w:val="24"/>
        </w:rPr>
        <w:t>Come indicato nella direttiva la consultazione della società civile è un elemento essenziale sia della normativa europea che di quella nazionale. Inoltre</w:t>
      </w:r>
      <w:r w:rsidR="00EE16A1">
        <w:rPr>
          <w:rFonts w:ascii="Times New Roman" w:hAnsi="Times New Roman" w:cs="Times New Roman"/>
          <w:sz w:val="24"/>
          <w:szCs w:val="24"/>
        </w:rPr>
        <w:t>,</w:t>
      </w:r>
      <w:r w:rsidRPr="001D0D39">
        <w:rPr>
          <w:rFonts w:ascii="Times New Roman" w:hAnsi="Times New Roman" w:cs="Times New Roman"/>
          <w:sz w:val="24"/>
          <w:szCs w:val="24"/>
        </w:rPr>
        <w:t xml:space="preserve"> l’art. 4 comma 3 della Convenzione delle Nazioni Unite recita: “</w:t>
      </w:r>
      <w:r w:rsidRPr="001D0D39">
        <w:rPr>
          <w:rFonts w:ascii="Times New Roman" w:eastAsia="Times New Roman" w:hAnsi="Times New Roman" w:cs="Times New Roman"/>
          <w:sz w:val="24"/>
          <w:szCs w:val="24"/>
          <w:lang w:eastAsia="it-IT"/>
        </w:rPr>
        <w:t xml:space="preserve">Nell’elaborazione e nell’attuazione della legislazione e delle politiche da adottare per attuare la presente convenzione, così come negli altri processi decisionali relativi a questioni concernenti le persone con disabilità, gli Stati parti operano in stretta consultazione e coinvolgono attivamente le persone con disabilità, compresi i minori con disabilità, attraverso le loro organizzazioni rappresentative”. </w:t>
      </w:r>
    </w:p>
    <w:p w14:paraId="5D0F32DA" w14:textId="69700132" w:rsidR="005002F6" w:rsidRPr="001D0D39" w:rsidRDefault="005002F6" w:rsidP="001D0D39">
      <w:pPr>
        <w:spacing w:line="360" w:lineRule="auto"/>
        <w:jc w:val="both"/>
        <w:rPr>
          <w:rFonts w:ascii="Times New Roman" w:hAnsi="Times New Roman" w:cs="Times New Roman"/>
          <w:sz w:val="24"/>
          <w:szCs w:val="24"/>
        </w:rPr>
      </w:pPr>
      <w:r w:rsidRPr="001D0D39">
        <w:rPr>
          <w:rFonts w:ascii="Times New Roman" w:eastAsia="Times New Roman" w:hAnsi="Times New Roman" w:cs="Times New Roman"/>
          <w:sz w:val="24"/>
          <w:szCs w:val="24"/>
          <w:lang w:eastAsia="it-IT"/>
        </w:rPr>
        <w:t>L’impegno a rispettare questo comma è una convenienza per i progettisti e gestori dei progetti, misure e riforme perché le competenze ed i saperi specifici delle associazioni di persone con disabilità e loro famiglie, in particolare delle due federazioni unitarie, FISH e FAND</w:t>
      </w:r>
      <w:r w:rsidR="00C659AB">
        <w:rPr>
          <w:rFonts w:ascii="Times New Roman" w:eastAsia="Times New Roman" w:hAnsi="Times New Roman" w:cs="Times New Roman"/>
          <w:sz w:val="24"/>
          <w:szCs w:val="24"/>
          <w:lang w:eastAsia="it-IT"/>
        </w:rPr>
        <w:t xml:space="preserve"> - </w:t>
      </w:r>
      <w:r w:rsidRPr="001D0D39">
        <w:rPr>
          <w:rFonts w:ascii="Times New Roman" w:eastAsia="Times New Roman" w:hAnsi="Times New Roman" w:cs="Times New Roman"/>
          <w:sz w:val="24"/>
          <w:szCs w:val="24"/>
          <w:lang w:eastAsia="it-IT"/>
        </w:rPr>
        <w:t>molto cresciute in questi ultimi anni</w:t>
      </w:r>
      <w:r w:rsidR="00C659AB">
        <w:rPr>
          <w:rFonts w:ascii="Times New Roman" w:eastAsia="Times New Roman" w:hAnsi="Times New Roman" w:cs="Times New Roman"/>
          <w:sz w:val="24"/>
          <w:szCs w:val="24"/>
          <w:lang w:eastAsia="it-IT"/>
        </w:rPr>
        <w:t xml:space="preserve"> - </w:t>
      </w:r>
      <w:r w:rsidRPr="001D0D39">
        <w:rPr>
          <w:rFonts w:ascii="Times New Roman" w:eastAsia="Times New Roman" w:hAnsi="Times New Roman" w:cs="Times New Roman"/>
          <w:sz w:val="24"/>
          <w:szCs w:val="24"/>
          <w:lang w:eastAsia="it-IT"/>
        </w:rPr>
        <w:t xml:space="preserve">hanno dimostrato nel tempo (anche durante l’attuale pandemia) che lo sguardo e l’esperienza di chi vive una condizione di disabilità sono estremamente utili a individuare soluzioni inclusive rispettose dei diritti umani e delle libertà fondamentali. </w:t>
      </w:r>
      <w:r w:rsidR="00CA3033" w:rsidRPr="001D0D39">
        <w:rPr>
          <w:rFonts w:ascii="Times New Roman" w:eastAsia="Times New Roman" w:hAnsi="Times New Roman" w:cs="Times New Roman"/>
          <w:sz w:val="24"/>
          <w:szCs w:val="24"/>
          <w:lang w:eastAsia="it-IT"/>
        </w:rPr>
        <w:t xml:space="preserve">Le competenze di tali organizzazioni possono garantire precise competenze sui 4 principi da rispettare contenuti nella Direttiva. </w:t>
      </w:r>
      <w:r w:rsidRPr="001D0D39">
        <w:rPr>
          <w:rFonts w:ascii="Times New Roman" w:eastAsia="Times New Roman" w:hAnsi="Times New Roman" w:cs="Times New Roman"/>
          <w:sz w:val="24"/>
          <w:szCs w:val="24"/>
          <w:lang w:eastAsia="it-IT"/>
        </w:rPr>
        <w:t xml:space="preserve">Durante la pandemia il ruolo di queste organizzazioni e società civile è stato fondamentale per produrre soluzioni inclusive. La </w:t>
      </w:r>
      <w:r w:rsidRPr="00C659AB">
        <w:rPr>
          <w:rFonts w:ascii="Times New Roman" w:eastAsia="Times New Roman" w:hAnsi="Times New Roman" w:cs="Times New Roman"/>
          <w:b/>
          <w:bCs/>
          <w:sz w:val="24"/>
          <w:szCs w:val="24"/>
          <w:lang w:eastAsia="it-IT"/>
        </w:rPr>
        <w:t>consultazione e coinvolgimento</w:t>
      </w:r>
      <w:r w:rsidRPr="001D0D39">
        <w:rPr>
          <w:rFonts w:ascii="Times New Roman" w:eastAsia="Times New Roman" w:hAnsi="Times New Roman" w:cs="Times New Roman"/>
          <w:sz w:val="24"/>
          <w:szCs w:val="24"/>
          <w:lang w:eastAsia="it-IT"/>
        </w:rPr>
        <w:t xml:space="preserve"> di queste organizzazioni nelle varie fasi di predisposizione e realizzazione dei progetti, misure e riforme può essere rendicontato nelle relazioni previste dal monitoraggio.</w:t>
      </w:r>
    </w:p>
    <w:p w14:paraId="46079859" w14:textId="2E4F126B" w:rsidR="00E15E53" w:rsidRPr="001D0D39" w:rsidRDefault="00CA3033" w:rsidP="001D0D39">
      <w:pPr>
        <w:spacing w:line="360" w:lineRule="auto"/>
        <w:jc w:val="both"/>
        <w:rPr>
          <w:rFonts w:ascii="Times New Roman" w:hAnsi="Times New Roman" w:cs="Times New Roman"/>
          <w:sz w:val="24"/>
          <w:szCs w:val="24"/>
        </w:rPr>
      </w:pPr>
      <w:r w:rsidRPr="001D0D39">
        <w:rPr>
          <w:rFonts w:ascii="Times New Roman" w:hAnsi="Times New Roman" w:cs="Times New Roman"/>
          <w:sz w:val="24"/>
          <w:szCs w:val="24"/>
        </w:rPr>
        <w:t xml:space="preserve">La Direttiva sul monitoraggio dell’inclusività dei diritti delle persone con disabilità interviene per evitare la creazione di </w:t>
      </w:r>
      <w:r w:rsidR="00C560D2" w:rsidRPr="001D0D39">
        <w:rPr>
          <w:rFonts w:ascii="Times New Roman" w:hAnsi="Times New Roman" w:cs="Times New Roman"/>
          <w:sz w:val="24"/>
          <w:szCs w:val="24"/>
        </w:rPr>
        <w:t>o</w:t>
      </w:r>
      <w:r w:rsidRPr="001D0D39">
        <w:rPr>
          <w:rFonts w:ascii="Times New Roman" w:hAnsi="Times New Roman" w:cs="Times New Roman"/>
          <w:sz w:val="24"/>
          <w:szCs w:val="24"/>
        </w:rPr>
        <w:t>stacoli, barriere e discriminazioni</w:t>
      </w:r>
      <w:r w:rsidR="00C659AB">
        <w:rPr>
          <w:rFonts w:ascii="Times New Roman" w:hAnsi="Times New Roman" w:cs="Times New Roman"/>
          <w:sz w:val="24"/>
          <w:szCs w:val="24"/>
        </w:rPr>
        <w:t xml:space="preserve"> ed</w:t>
      </w:r>
      <w:r w:rsidRPr="001D0D39">
        <w:rPr>
          <w:rFonts w:ascii="Times New Roman" w:hAnsi="Times New Roman" w:cs="Times New Roman"/>
          <w:sz w:val="24"/>
          <w:szCs w:val="24"/>
        </w:rPr>
        <w:t xml:space="preserve"> è una convenienza per tutta la società dal mome</w:t>
      </w:r>
      <w:r w:rsidR="00C560D2" w:rsidRPr="001D0D39">
        <w:rPr>
          <w:rFonts w:ascii="Times New Roman" w:hAnsi="Times New Roman" w:cs="Times New Roman"/>
          <w:sz w:val="24"/>
          <w:szCs w:val="24"/>
        </w:rPr>
        <w:t>n</w:t>
      </w:r>
      <w:r w:rsidRPr="001D0D39">
        <w:rPr>
          <w:rFonts w:ascii="Times New Roman" w:hAnsi="Times New Roman" w:cs="Times New Roman"/>
          <w:sz w:val="24"/>
          <w:szCs w:val="24"/>
        </w:rPr>
        <w:t>to che l’OMS</w:t>
      </w:r>
      <w:r w:rsidR="00C560D2" w:rsidRPr="001D0D39">
        <w:rPr>
          <w:rFonts w:ascii="Times New Roman" w:hAnsi="Times New Roman" w:cs="Times New Roman"/>
          <w:sz w:val="24"/>
          <w:szCs w:val="24"/>
        </w:rPr>
        <w:t xml:space="preserve"> sottolinea che nell’arco di tutta la vita ogni essere umano vivrà condizioni di disabilità.</w:t>
      </w:r>
    </w:p>
    <w:sectPr w:rsidR="00E15E53" w:rsidRPr="001D0D3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C4BA" w14:textId="77777777" w:rsidR="008F31AD" w:rsidRDefault="008F31AD" w:rsidP="00EE16A1">
      <w:pPr>
        <w:spacing w:after="0" w:line="240" w:lineRule="auto"/>
      </w:pPr>
      <w:r>
        <w:separator/>
      </w:r>
    </w:p>
  </w:endnote>
  <w:endnote w:type="continuationSeparator" w:id="0">
    <w:p w14:paraId="28702156" w14:textId="77777777" w:rsidR="008F31AD" w:rsidRDefault="008F31AD" w:rsidP="00EE1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147878"/>
      <w:docPartObj>
        <w:docPartGallery w:val="Page Numbers (Bottom of Page)"/>
        <w:docPartUnique/>
      </w:docPartObj>
    </w:sdtPr>
    <w:sdtEndPr/>
    <w:sdtContent>
      <w:p w14:paraId="2E9EC6F3" w14:textId="58931E52" w:rsidR="00EE16A1" w:rsidRDefault="00EE16A1">
        <w:pPr>
          <w:pStyle w:val="Pidipagina"/>
          <w:jc w:val="right"/>
        </w:pPr>
        <w:r>
          <w:fldChar w:fldCharType="begin"/>
        </w:r>
        <w:r>
          <w:instrText>PAGE   \* MERGEFORMAT</w:instrText>
        </w:r>
        <w:r>
          <w:fldChar w:fldCharType="separate"/>
        </w:r>
        <w:r>
          <w:t>2</w:t>
        </w:r>
        <w:r>
          <w:fldChar w:fldCharType="end"/>
        </w:r>
      </w:p>
    </w:sdtContent>
  </w:sdt>
  <w:p w14:paraId="7836AD66" w14:textId="77777777" w:rsidR="00EE16A1" w:rsidRDefault="00EE16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E3D2" w14:textId="77777777" w:rsidR="008F31AD" w:rsidRDefault="008F31AD" w:rsidP="00EE16A1">
      <w:pPr>
        <w:spacing w:after="0" w:line="240" w:lineRule="auto"/>
      </w:pPr>
      <w:r>
        <w:separator/>
      </w:r>
    </w:p>
  </w:footnote>
  <w:footnote w:type="continuationSeparator" w:id="0">
    <w:p w14:paraId="4D77D207" w14:textId="77777777" w:rsidR="008F31AD" w:rsidRDefault="008F31AD" w:rsidP="00EE1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F75D7"/>
    <w:multiLevelType w:val="hybridMultilevel"/>
    <w:tmpl w:val="C54A2A3C"/>
    <w:lvl w:ilvl="0" w:tplc="859C1DCE">
      <w:numFmt w:val="bullet"/>
      <w:lvlText w:val="-"/>
      <w:lvlJc w:val="left"/>
      <w:pPr>
        <w:ind w:left="870" w:hanging="360"/>
      </w:pPr>
      <w:rPr>
        <w:rFonts w:ascii="Times New Roman" w:eastAsiaTheme="minorHAnsi" w:hAnsi="Times New Roman" w:cs="Times New Roman" w:hint="default"/>
        <w:b/>
        <w:i w:val="0"/>
      </w:rPr>
    </w:lvl>
    <w:lvl w:ilvl="1" w:tplc="04100003" w:tentative="1">
      <w:start w:val="1"/>
      <w:numFmt w:val="bullet"/>
      <w:lvlText w:val="o"/>
      <w:lvlJc w:val="left"/>
      <w:pPr>
        <w:ind w:left="1590" w:hanging="360"/>
      </w:pPr>
      <w:rPr>
        <w:rFonts w:ascii="Courier New" w:hAnsi="Courier New" w:cs="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cs="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cs="Courier New" w:hint="default"/>
      </w:rPr>
    </w:lvl>
    <w:lvl w:ilvl="8" w:tplc="04100005" w:tentative="1">
      <w:start w:val="1"/>
      <w:numFmt w:val="bullet"/>
      <w:lvlText w:val=""/>
      <w:lvlJc w:val="left"/>
      <w:pPr>
        <w:ind w:left="66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F6"/>
    <w:rsid w:val="000A7414"/>
    <w:rsid w:val="0010785F"/>
    <w:rsid w:val="001D0D39"/>
    <w:rsid w:val="00221896"/>
    <w:rsid w:val="002F1AAF"/>
    <w:rsid w:val="004D4D8D"/>
    <w:rsid w:val="005002F6"/>
    <w:rsid w:val="00504CB8"/>
    <w:rsid w:val="007B22E0"/>
    <w:rsid w:val="00825A22"/>
    <w:rsid w:val="008F31AD"/>
    <w:rsid w:val="00A10266"/>
    <w:rsid w:val="00C20556"/>
    <w:rsid w:val="00C560D2"/>
    <w:rsid w:val="00C659AB"/>
    <w:rsid w:val="00CA3033"/>
    <w:rsid w:val="00E15E53"/>
    <w:rsid w:val="00EE16A1"/>
    <w:rsid w:val="00FA7F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4982"/>
  <w15:chartTrackingRefBased/>
  <w15:docId w15:val="{D602A31B-9501-4B61-AEA0-97237D3B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02F6"/>
  </w:style>
  <w:style w:type="paragraph" w:styleId="Titolo1">
    <w:name w:val="heading 1"/>
    <w:basedOn w:val="Normale"/>
    <w:next w:val="Normale"/>
    <w:link w:val="Titolo1Carattere"/>
    <w:uiPriority w:val="9"/>
    <w:qFormat/>
    <w:rsid w:val="002F1A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002F6"/>
    <w:rPr>
      <w:color w:val="0563C1" w:themeColor="hyperlink"/>
      <w:u w:val="single"/>
    </w:rPr>
  </w:style>
  <w:style w:type="paragraph" w:styleId="NormaleWeb">
    <w:name w:val="Normal (Web)"/>
    <w:basedOn w:val="Normale"/>
    <w:uiPriority w:val="99"/>
    <w:unhideWhenUsed/>
    <w:rsid w:val="005002F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5002F6"/>
    <w:pPr>
      <w:autoSpaceDE w:val="0"/>
      <w:autoSpaceDN w:val="0"/>
      <w:adjustRightInd w:val="0"/>
      <w:spacing w:after="0" w:line="240" w:lineRule="auto"/>
    </w:pPr>
    <w:rPr>
      <w:rFonts w:ascii="Garamond" w:hAnsi="Garamond" w:cs="Garamond"/>
      <w:color w:val="000000"/>
      <w:sz w:val="24"/>
      <w:szCs w:val="24"/>
    </w:rPr>
  </w:style>
  <w:style w:type="paragraph" w:styleId="Paragrafoelenco">
    <w:name w:val="List Paragraph"/>
    <w:basedOn w:val="Normale"/>
    <w:uiPriority w:val="34"/>
    <w:qFormat/>
    <w:rsid w:val="001D0D39"/>
    <w:pPr>
      <w:ind w:left="720"/>
      <w:contextualSpacing/>
    </w:pPr>
  </w:style>
  <w:style w:type="paragraph" w:styleId="Intestazione">
    <w:name w:val="header"/>
    <w:basedOn w:val="Normale"/>
    <w:link w:val="IntestazioneCarattere"/>
    <w:uiPriority w:val="99"/>
    <w:unhideWhenUsed/>
    <w:rsid w:val="00EE16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6A1"/>
  </w:style>
  <w:style w:type="paragraph" w:styleId="Pidipagina">
    <w:name w:val="footer"/>
    <w:basedOn w:val="Normale"/>
    <w:link w:val="PidipaginaCarattere"/>
    <w:uiPriority w:val="99"/>
    <w:unhideWhenUsed/>
    <w:rsid w:val="00EE16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6A1"/>
  </w:style>
  <w:style w:type="character" w:customStyle="1" w:styleId="Titolo1Carattere">
    <w:name w:val="Titolo 1 Carattere"/>
    <w:basedOn w:val="Carpredefinitoparagrafo"/>
    <w:link w:val="Titolo1"/>
    <w:uiPriority w:val="9"/>
    <w:rsid w:val="002F1AA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id.gov.it/it/linee-gui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usei.beniculturali.it/progetti/ad-art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4653E-5D98-4DD3-BD2F-43D4AB6F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2712</Words>
  <Characters>15461</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Giampiero Griffo</dc:creator>
  <cp:keywords/>
  <dc:description/>
  <cp:lastModifiedBy>Delio Colangelo</cp:lastModifiedBy>
  <cp:revision>8</cp:revision>
  <dcterms:created xsi:type="dcterms:W3CDTF">2022-03-08T11:19:00Z</dcterms:created>
  <dcterms:modified xsi:type="dcterms:W3CDTF">2022-03-15T10:41:00Z</dcterms:modified>
</cp:coreProperties>
</file>